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A1D" w:rsidRPr="00521CA4" w:rsidRDefault="002472F5" w:rsidP="00ED48CD">
      <w:pPr>
        <w:jc w:val="center"/>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r w:rsidRPr="00521CA4">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City of Springfield,</w:t>
      </w:r>
    </w:p>
    <w:p w:rsidR="002472F5" w:rsidRDefault="002472F5" w:rsidP="00ED48CD">
      <w:pPr>
        <w:jc w:val="center"/>
        <w:rPr>
          <w:rFonts w:ascii="Bahnschrift SemiCondensed" w:hAnsi="Bahnschrift Semi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color w:val="EEECE1" w:themeColor="background2"/>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Massachusetts</w:t>
      </w:r>
    </w:p>
    <w:p w:rsidR="00181525" w:rsidRPr="00F62AEA" w:rsidRDefault="00181525" w:rsidP="00ED48CD">
      <w:pPr>
        <w:jc w:val="center"/>
        <w:rPr>
          <w:rFonts w:ascii="Bahnschrift SemiCondensed" w:hAnsi="Bahnschrift SemiCondensed" w:cs="Arial"/>
          <w:b/>
          <w:color w:val="000000" w:themeColor="text1"/>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DC3A1D" w:rsidRPr="00181525" w:rsidRDefault="0080113C" w:rsidP="0080113C">
      <w:pPr>
        <w:jc w:val="center"/>
        <w:rPr>
          <w:rFonts w:ascii="Bahnschrift SemiCondensed" w:hAnsi="Bahnschrift SemiCondensed" w:cs="Arial"/>
          <w:b/>
          <w14:glow w14:rad="0">
            <w14:srgbClr w14:val="FF0000"/>
          </w14:glow>
        </w:rPr>
      </w:pPr>
      <w:r w:rsidRPr="00F62AEA">
        <w:rPr>
          <w:rFonts w:ascii="Bahnschrift SemiCondensed" w:hAnsi="Bahnschrift SemiCondensed"/>
          <w:noProof/>
        </w:rPr>
        <w:drawing>
          <wp:inline distT="0" distB="0" distL="0" distR="0" wp14:anchorId="6F12A06D" wp14:editId="38A17307">
            <wp:extent cx="1028700" cy="797394"/>
            <wp:effectExtent l="38100" t="19050" r="76200" b="117475"/>
            <wp:docPr id="8" name="Picture 1" descr="Image result for city of springfield ma city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age result for city of springfield ma city seal"/>
                    <pic:cNvPicPr>
                      <a:picLocks noChangeAspect="1" noChangeArrowheads="1"/>
                    </pic:cNvPicPr>
                  </pic:nvPicPr>
                  <pic:blipFill>
                    <a:blip r:embed="rId8">
                      <a:extLst>
                        <a:ext uri="{BEBA8EAE-BF5A-486C-A8C5-ECC9F3942E4B}">
                          <a14:imgProps xmlns:a14="http://schemas.microsoft.com/office/drawing/2010/main">
                            <a14:imgLayer r:embed="rId9">
                              <a14:imgEffect>
                                <a14:artisticPhotocopy trans="55000"/>
                              </a14:imgEffect>
                            </a14:imgLayer>
                          </a14:imgProps>
                        </a:ext>
                        <a:ext uri="{28A0092B-C50C-407E-A947-70E740481C1C}">
                          <a14:useLocalDpi xmlns:a14="http://schemas.microsoft.com/office/drawing/2010/main" val="0"/>
                        </a:ext>
                      </a:extLst>
                    </a:blip>
                    <a:srcRect/>
                    <a:stretch>
                      <a:fillRect/>
                    </a:stretch>
                  </pic:blipFill>
                  <pic:spPr bwMode="auto">
                    <a:xfrm>
                      <a:off x="0" y="0"/>
                      <a:ext cx="1146115" cy="888408"/>
                    </a:xfrm>
                    <a:prstGeom prst="rect">
                      <a:avLst/>
                    </a:prstGeom>
                    <a:noFill/>
                    <a:effectLst>
                      <a:outerShdw blurRad="50800" dist="50800" dir="4500000" algn="ctr" rotWithShape="0">
                        <a:srgbClr val="000000">
                          <a:alpha val="43137"/>
                        </a:srgbClr>
                      </a:outerShdw>
                    </a:effectLst>
                    <a:extLst/>
                  </pic:spPr>
                </pic:pic>
              </a:graphicData>
            </a:graphic>
          </wp:inline>
        </w:drawing>
      </w:r>
    </w:p>
    <w:p w:rsidR="00DC3A1D" w:rsidRPr="00F62AEA" w:rsidRDefault="00DC3A1D" w:rsidP="00ED48CD">
      <w:pPr>
        <w:jc w:val="center"/>
        <w:rPr>
          <w:rFonts w:ascii="Bahnschrift SemiCondensed" w:hAnsi="Bahnschrift SemiCondensed" w:cs="Arial"/>
          <w:b/>
        </w:rPr>
      </w:pPr>
    </w:p>
    <w:p w:rsidR="009478C7" w:rsidRPr="00521CA4" w:rsidRDefault="00003490" w:rsidP="00056A16">
      <w:pPr>
        <w:jc w:val="center"/>
        <w:rPr>
          <w:rFonts w:ascii="Bahnschrift Condensed" w:hAnsi="Bahnschrift 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FY</w:t>
      </w:r>
      <w:r w:rsidR="004B06FE" w:rsidRPr="00521CA4">
        <w:rPr>
          <w:rFonts w:ascii="Bahnschrift Condensed" w:hAnsi="Bahnschrift 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20</w:t>
      </w:r>
      <w:r w:rsidR="00181525" w:rsidRPr="00521CA4">
        <w:rPr>
          <w:rFonts w:ascii="Bahnschrift Condensed" w:hAnsi="Bahnschrift 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22</w:t>
      </w:r>
    </w:p>
    <w:p w:rsidR="009076E6" w:rsidRPr="00F62AEA" w:rsidRDefault="009076E6" w:rsidP="00056A16">
      <w:pPr>
        <w:jc w:val="center"/>
        <w:rPr>
          <w:rFonts w:ascii="Bahnschrift SemiCondensed" w:hAnsi="Bahnschrift Semi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0113C" w:rsidRPr="00F62AEA" w:rsidRDefault="009076E6" w:rsidP="00056A16">
      <w:pPr>
        <w:jc w:val="center"/>
        <w:rPr>
          <w:rFonts w:ascii="Bahnschrift SemiCondensed" w:hAnsi="Bahnschrift SemiCondensed" w:cs="Arial"/>
          <w:b/>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rPr>
        <w:drawing>
          <wp:inline distT="0" distB="0" distL="0" distR="0" wp14:anchorId="3628E315" wp14:editId="316C69DA">
            <wp:extent cx="3019425" cy="2017525"/>
            <wp:effectExtent l="0" t="0" r="0" b="1905"/>
            <wp:docPr id="7" name="Picture 7" descr="https://upload.wikimedia.org/wikipedia/commons/thumb/a/a4/Springfield_Municipal_Group_2012_12_24.JPG/220px-Springfield_Municipal_Group_2012_12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4/Springfield_Municipal_Group_2012_12_24.JPG/220px-Springfield_Municipal_Group_2012_12_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2823" cy="2046523"/>
                    </a:xfrm>
                    <a:prstGeom prst="rect">
                      <a:avLst/>
                    </a:prstGeom>
                    <a:noFill/>
                    <a:ln>
                      <a:noFill/>
                    </a:ln>
                  </pic:spPr>
                </pic:pic>
              </a:graphicData>
            </a:graphic>
          </wp:inline>
        </w:drawing>
      </w:r>
    </w:p>
    <w:p w:rsidR="00056A16" w:rsidRPr="00F62AEA" w:rsidRDefault="00056A16" w:rsidP="00056A16">
      <w:pPr>
        <w:jc w:val="cente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0113C" w:rsidRPr="00F62AEA" w:rsidRDefault="0080113C" w:rsidP="00056A16">
      <w:pPr>
        <w:jc w:val="cente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56A16" w:rsidRPr="00521CA4" w:rsidRDefault="000A630C" w:rsidP="00056A16">
      <w:pPr>
        <w:jc w:val="cente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Quarterly </w:t>
      </w:r>
      <w:r w:rsidR="00D900A0" w:rsidRPr="00521CA4">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Financial</w:t>
      </w:r>
      <w:r w:rsidR="00003490" w:rsidRPr="00521CA4">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Report</w:t>
      </w:r>
    </w:p>
    <w:p w:rsidR="0080113C" w:rsidRPr="00521CA4" w:rsidRDefault="004B06FE" w:rsidP="0080113C">
      <w:pPr>
        <w:jc w:val="cente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As of </w:t>
      </w:r>
    </w:p>
    <w:p w:rsidR="00F23200" w:rsidRPr="00521CA4" w:rsidRDefault="00181525" w:rsidP="00F23200">
      <w:pPr>
        <w:jc w:val="center"/>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21CA4">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September 30</w:t>
      </w:r>
      <w:r w:rsidR="005D1F4B" w:rsidRPr="00521CA4">
        <w:rPr>
          <w:rFonts w:ascii="Bahnschrift Condensed" w:hAnsi="Bahnschrift 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2021</w:t>
      </w:r>
    </w:p>
    <w:p w:rsidR="00F23200" w:rsidRPr="00F62AEA" w:rsidRDefault="00F23200" w:rsidP="00F23200">
      <w:pPr>
        <w:jc w:val="center"/>
        <w:rPr>
          <w:rFonts w:ascii="Bahnschrift SemiCondensed" w:hAnsi="Bahnschrift SemiCondensed" w:cs="Arial"/>
          <w:b/>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C2EE2" w:rsidRDefault="008C2EE2" w:rsidP="00D46D88">
      <w:pPr>
        <w:rPr>
          <w:rFonts w:cs="Arial"/>
          <w:b/>
          <w:i/>
          <w:sz w:val="18"/>
          <w:szCs w:val="18"/>
        </w:rPr>
      </w:pPr>
    </w:p>
    <w:p w:rsidR="0060312F" w:rsidRDefault="0060312F" w:rsidP="00D46D88">
      <w:pPr>
        <w:rPr>
          <w:rFonts w:cs="Arial"/>
          <w:b/>
          <w:i/>
          <w:sz w:val="18"/>
          <w:szCs w:val="18"/>
        </w:rPr>
      </w:pPr>
    </w:p>
    <w:p w:rsidR="0060312F" w:rsidRDefault="0060312F" w:rsidP="00D46D88">
      <w:pPr>
        <w:rPr>
          <w:rFonts w:cs="Arial"/>
          <w:b/>
          <w:i/>
          <w:sz w:val="18"/>
          <w:szCs w:val="18"/>
        </w:rPr>
      </w:pPr>
    </w:p>
    <w:p w:rsidR="009E2BA4" w:rsidRPr="00521CA4" w:rsidRDefault="00D46D88" w:rsidP="00D46D88">
      <w:pPr>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46D88">
        <w:rPr>
          <w:rFonts w:cs="Arial"/>
          <w:b/>
          <w:i/>
          <w:sz w:val="18"/>
          <w:szCs w:val="18"/>
        </w:rPr>
        <w:lastRenderedPageBreak/>
        <w:t>Cover</w:t>
      </w:r>
      <w:r w:rsidRPr="00D46D88">
        <w:rPr>
          <w:rFonts w:cs="Arial"/>
          <w:b/>
          <w:i/>
        </w:rPr>
        <w:t xml:space="preserve"> </w:t>
      </w:r>
      <w:r w:rsidR="00D342A1">
        <w:rPr>
          <w:rFonts w:cs="Arial"/>
          <w:b/>
          <w:i/>
        </w:rPr>
        <w:t>–</w:t>
      </w:r>
      <w:r w:rsidR="0039393B" w:rsidRPr="0039393B">
        <w:rPr>
          <w:b/>
          <w:i/>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876F76" w:rsidRP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Municipal </w:t>
      </w:r>
      <w:r w:rsid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Group - </w:t>
      </w:r>
      <w:r w:rsidR="00876F76" w:rsidRP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(Symphony Hall, the Campanile and City Hall)</w:t>
      </w:r>
      <w:r w:rsidR="00521CA4" w:rsidRP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in downtown S</w:t>
      </w:r>
      <w:r w:rsid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pringfield</w:t>
      </w:r>
      <w:r w:rsidR="00521CA4" w:rsidRP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Ma</w:t>
      </w:r>
      <w:r w:rsidR="00521CA4">
        <w:rPr>
          <w:rFonts w:ascii="Calibri Light" w:hAnsi="Calibri Light" w:cs="Calibri Light"/>
          <w:i/>
          <w:noProof/>
          <w:sz w:val="18"/>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ssachusetts</w:t>
      </w:r>
    </w:p>
    <w:p w:rsidR="00521CA4" w:rsidRDefault="00521CA4" w:rsidP="00D46D88">
      <w:pPr>
        <w:rPr>
          <w:b/>
          <w:i/>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21CA4" w:rsidRDefault="00521CA4" w:rsidP="00D46D88">
      <w:pPr>
        <w:rPr>
          <w:b/>
          <w:i/>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521CA4" w:rsidRDefault="00521CA4" w:rsidP="00D46D88">
      <w:pPr>
        <w:rPr>
          <w:i/>
          <w:noProof/>
          <w:color w:val="000000" w:themeColor="text1"/>
          <w:sz w:val="16"/>
          <w:szCs w:val="16"/>
          <w14:textOutline w14:w="5270" w14:cap="flat" w14:cmpd="sng" w14:algn="ctr">
            <w14:solidFill>
              <w14:schemeClr w14:val="accent1">
                <w14:shade w14:val="88000"/>
                <w14:satMod w14:val="110000"/>
              </w14:schemeClr>
            </w14:solidFill>
            <w14:prstDash w14:val="solid"/>
            <w14:round/>
          </w14:textOutline>
        </w:rPr>
      </w:pPr>
    </w:p>
    <w:p w:rsidR="00D46D88" w:rsidRPr="00517297" w:rsidRDefault="00D46D88" w:rsidP="00D46D88">
      <w:pPr>
        <w:rPr>
          <w:rFonts w:cs="Arial"/>
          <w:b/>
        </w:rPr>
      </w:pPr>
      <w:r w:rsidRPr="00BB3789">
        <w:rPr>
          <w:rFonts w:cs="Arial"/>
          <w:b/>
          <w:i/>
          <w:color w:val="000000" w:themeColor="text1"/>
          <w14:textOutline w14:w="5270" w14:cap="flat" w14:cmpd="sng" w14:algn="ctr">
            <w14:solidFill>
              <w14:schemeClr w14:val="accent1">
                <w14:shade w14:val="88000"/>
                <w14:satMod w14:val="110000"/>
              </w14:schemeClr>
            </w14:solidFill>
            <w14:prstDash w14:val="solid"/>
            <w14:round/>
          </w14:textOutline>
        </w:rPr>
        <w:t xml:space="preserve"> </w:t>
      </w:r>
    </w:p>
    <w:p w:rsidR="00D46D88" w:rsidRDefault="00D46D88" w:rsidP="00250C6C">
      <w:pPr>
        <w:rPr>
          <w:rFonts w:cs="Arial"/>
          <w:b/>
        </w:rPr>
      </w:pPr>
    </w:p>
    <w:p w:rsidR="00250C6C" w:rsidRDefault="00250C6C" w:rsidP="00250C6C">
      <w:pPr>
        <w:rPr>
          <w:rFonts w:cs="Arial"/>
          <w:b/>
        </w:rPr>
      </w:pPr>
      <w:r>
        <w:rPr>
          <w:rFonts w:cs="Arial"/>
          <w:b/>
        </w:rPr>
        <w:t>Table of Contents</w:t>
      </w:r>
    </w:p>
    <w:p w:rsidR="00250C6C" w:rsidRPr="00250C6C" w:rsidRDefault="00250C6C" w:rsidP="00250C6C">
      <w:pPr>
        <w:rPr>
          <w:rFonts w:cs="Arial"/>
        </w:rPr>
      </w:pPr>
    </w:p>
    <w:p w:rsidR="00250C6C" w:rsidRPr="00250C6C" w:rsidRDefault="00250C6C" w:rsidP="00250C6C">
      <w:pPr>
        <w:pStyle w:val="ListParagraph"/>
        <w:numPr>
          <w:ilvl w:val="0"/>
          <w:numId w:val="4"/>
        </w:numPr>
        <w:rPr>
          <w:rFonts w:cs="Arial"/>
        </w:rPr>
      </w:pPr>
      <w:r w:rsidRPr="00250C6C">
        <w:rPr>
          <w:rFonts w:cs="Arial"/>
        </w:rPr>
        <w:t>Summary……</w:t>
      </w:r>
      <w:r w:rsidR="00823E45">
        <w:rPr>
          <w:rFonts w:cs="Arial"/>
        </w:rPr>
        <w:t>………………………………………………………………………</w:t>
      </w:r>
    </w:p>
    <w:p w:rsidR="00250C6C" w:rsidRPr="00250C6C" w:rsidRDefault="00250C6C" w:rsidP="00250C6C">
      <w:pPr>
        <w:rPr>
          <w:rFonts w:cs="Arial"/>
        </w:rPr>
      </w:pPr>
    </w:p>
    <w:p w:rsidR="00250C6C" w:rsidRPr="00250C6C" w:rsidRDefault="00823E45" w:rsidP="00250C6C">
      <w:pPr>
        <w:pStyle w:val="ListParagraph"/>
        <w:numPr>
          <w:ilvl w:val="0"/>
          <w:numId w:val="4"/>
        </w:numPr>
        <w:rPr>
          <w:rFonts w:cs="Arial"/>
        </w:rPr>
      </w:pPr>
      <w:r>
        <w:rPr>
          <w:rFonts w:cs="Arial"/>
        </w:rPr>
        <w:t xml:space="preserve">Balance </w:t>
      </w:r>
      <w:r w:rsidR="00250C6C" w:rsidRPr="00250C6C">
        <w:rPr>
          <w:rFonts w:cs="Arial"/>
        </w:rPr>
        <w:t>Sheets</w:t>
      </w:r>
      <w:r>
        <w:rPr>
          <w:rFonts w:cs="Arial"/>
        </w:rPr>
        <w:t>…………………………………………………………………….</w:t>
      </w:r>
    </w:p>
    <w:p w:rsidR="00250C6C" w:rsidRPr="00250C6C" w:rsidRDefault="00250C6C" w:rsidP="00250C6C">
      <w:pPr>
        <w:pStyle w:val="ListParagraph"/>
        <w:rPr>
          <w:rFonts w:cs="Arial"/>
        </w:rPr>
      </w:pPr>
    </w:p>
    <w:p w:rsidR="00250C6C" w:rsidRDefault="00A97672" w:rsidP="00823E45">
      <w:pPr>
        <w:pStyle w:val="ListParagraph"/>
        <w:numPr>
          <w:ilvl w:val="0"/>
          <w:numId w:val="4"/>
        </w:numPr>
        <w:rPr>
          <w:rFonts w:cs="Arial"/>
        </w:rPr>
      </w:pPr>
      <w:r>
        <w:rPr>
          <w:rFonts w:cs="Arial"/>
        </w:rPr>
        <w:t xml:space="preserve">Statement of Revenues and Expenditures </w:t>
      </w:r>
      <w:r w:rsidR="00250C6C" w:rsidRPr="00250C6C">
        <w:rPr>
          <w:rFonts w:cs="Arial"/>
        </w:rPr>
        <w:t>……</w:t>
      </w:r>
      <w:r>
        <w:rPr>
          <w:rFonts w:cs="Arial"/>
        </w:rPr>
        <w:t>……………………………</w:t>
      </w:r>
      <w:r w:rsidR="00B639C8">
        <w:rPr>
          <w:rFonts w:cs="Arial"/>
        </w:rPr>
        <w:t>….</w:t>
      </w:r>
    </w:p>
    <w:p w:rsidR="00823E45" w:rsidRPr="00823E45" w:rsidRDefault="00823E45" w:rsidP="00823E45">
      <w:pPr>
        <w:pStyle w:val="ListParagraph"/>
        <w:rPr>
          <w:rFonts w:cs="Arial"/>
        </w:rPr>
      </w:pPr>
    </w:p>
    <w:p w:rsidR="00250C6C" w:rsidRDefault="00A97672" w:rsidP="00823E45">
      <w:pPr>
        <w:pStyle w:val="ListParagraph"/>
        <w:numPr>
          <w:ilvl w:val="0"/>
          <w:numId w:val="4"/>
        </w:numPr>
        <w:rPr>
          <w:rFonts w:cs="Arial"/>
        </w:rPr>
      </w:pPr>
      <w:r>
        <w:rPr>
          <w:rFonts w:cs="Arial"/>
        </w:rPr>
        <w:t>Revenues</w:t>
      </w:r>
      <w:r w:rsidR="00250C6C" w:rsidRPr="00823E45">
        <w:rPr>
          <w:rFonts w:cs="Arial"/>
        </w:rPr>
        <w:t>……</w:t>
      </w:r>
      <w:r w:rsidR="00437F82">
        <w:rPr>
          <w:rFonts w:cs="Arial"/>
        </w:rPr>
        <w:t>…………………………………………………………………</w:t>
      </w:r>
      <w:r>
        <w:rPr>
          <w:rFonts w:cs="Arial"/>
        </w:rPr>
        <w:t>……</w:t>
      </w:r>
    </w:p>
    <w:p w:rsidR="002E1638" w:rsidRPr="002E1638" w:rsidRDefault="002E1638" w:rsidP="002E1638">
      <w:pPr>
        <w:pStyle w:val="ListParagraph"/>
        <w:rPr>
          <w:rFonts w:cs="Arial"/>
        </w:rPr>
      </w:pPr>
    </w:p>
    <w:p w:rsidR="002E1638" w:rsidRDefault="00A97672" w:rsidP="00823E45">
      <w:pPr>
        <w:pStyle w:val="ListParagraph"/>
        <w:numPr>
          <w:ilvl w:val="0"/>
          <w:numId w:val="4"/>
        </w:numPr>
        <w:rPr>
          <w:rFonts w:cs="Arial"/>
        </w:rPr>
      </w:pPr>
      <w:r>
        <w:rPr>
          <w:rFonts w:cs="Arial"/>
        </w:rPr>
        <w:t>Expenditures……………………………………………………………………</w:t>
      </w:r>
      <w:r w:rsidR="00B639C8">
        <w:rPr>
          <w:rFonts w:cs="Arial"/>
        </w:rPr>
        <w:t>….</w:t>
      </w:r>
    </w:p>
    <w:p w:rsidR="00A97672" w:rsidRPr="00A97672" w:rsidRDefault="00A97672" w:rsidP="00A97672">
      <w:pPr>
        <w:ind w:left="360"/>
        <w:rPr>
          <w:rFonts w:cs="Arial"/>
        </w:rPr>
      </w:pPr>
    </w:p>
    <w:p w:rsidR="00A97672" w:rsidRDefault="00A97672" w:rsidP="00823E45">
      <w:pPr>
        <w:pStyle w:val="ListParagraph"/>
        <w:numPr>
          <w:ilvl w:val="0"/>
          <w:numId w:val="4"/>
        </w:numPr>
        <w:rPr>
          <w:rFonts w:cs="Arial"/>
        </w:rPr>
      </w:pPr>
      <w:r>
        <w:rPr>
          <w:rFonts w:cs="Arial"/>
        </w:rPr>
        <w:t>Grants……………………………………………………………………………….</w:t>
      </w:r>
    </w:p>
    <w:p w:rsidR="00437F82" w:rsidRPr="00437F82" w:rsidRDefault="00437F82" w:rsidP="00437F82">
      <w:pPr>
        <w:pStyle w:val="ListParagraph"/>
        <w:rPr>
          <w:rFonts w:cs="Arial"/>
        </w:rPr>
      </w:pPr>
    </w:p>
    <w:p w:rsidR="00437F82" w:rsidRPr="00823E45" w:rsidRDefault="00437F82" w:rsidP="00437F82">
      <w:pPr>
        <w:pStyle w:val="ListParagraph"/>
        <w:rPr>
          <w:rFonts w:cs="Arial"/>
        </w:rPr>
      </w:pPr>
    </w:p>
    <w:p w:rsidR="00250C6C" w:rsidRPr="00250C6C" w:rsidRDefault="00250C6C" w:rsidP="00250C6C">
      <w:pPr>
        <w:pStyle w:val="ListParagraph"/>
        <w:rPr>
          <w:rFonts w:cs="Arial"/>
        </w:rPr>
      </w:pPr>
    </w:p>
    <w:p w:rsidR="00250C6C" w:rsidRPr="00250C6C" w:rsidRDefault="00650B8F" w:rsidP="00250C6C">
      <w:pPr>
        <w:rPr>
          <w:rFonts w:cs="Arial"/>
        </w:rPr>
      </w:pPr>
      <w:r>
        <w:rPr>
          <w:rFonts w:cs="Arial"/>
        </w:rPr>
        <w:t xml:space="preserve"> </w:t>
      </w:r>
    </w:p>
    <w:p w:rsidR="00413173" w:rsidRPr="00250C6C" w:rsidRDefault="00250C6C" w:rsidP="00250C6C">
      <w:pPr>
        <w:ind w:left="720"/>
        <w:rPr>
          <w:rFonts w:cs="Arial"/>
        </w:rPr>
      </w:pPr>
      <w:r w:rsidRPr="00250C6C">
        <w:rPr>
          <w:rFonts w:cs="Arial"/>
        </w:rPr>
        <w:t xml:space="preserve">     </w:t>
      </w:r>
      <w:r w:rsidRPr="00250C6C">
        <w:rPr>
          <w:rFonts w:cs="Arial"/>
        </w:rPr>
        <w:tab/>
      </w:r>
      <w:r w:rsidRPr="00250C6C">
        <w:rPr>
          <w:rFonts w:cs="Arial"/>
        </w:rPr>
        <w:tab/>
        <w:t xml:space="preserve">                                                </w:t>
      </w:r>
    </w:p>
    <w:p w:rsidR="00413173" w:rsidRPr="00250C6C" w:rsidRDefault="00413173" w:rsidP="008E6AC8">
      <w:pPr>
        <w:rPr>
          <w:rFonts w:cs="Arial"/>
        </w:rPr>
      </w:pPr>
    </w:p>
    <w:p w:rsidR="00413173" w:rsidRPr="00250C6C" w:rsidRDefault="00413173" w:rsidP="008E6AC8">
      <w:pPr>
        <w:rPr>
          <w:rFonts w:cs="Arial"/>
        </w:rPr>
      </w:pPr>
    </w:p>
    <w:p w:rsidR="00413173" w:rsidRPr="00250C6C" w:rsidRDefault="00413173" w:rsidP="008E6AC8">
      <w:pPr>
        <w:rPr>
          <w:rFonts w:cs="Arial"/>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7958F7" w:rsidRDefault="007958F7" w:rsidP="00512CA8">
      <w:pPr>
        <w:rPr>
          <w:rFonts w:cs="Arial"/>
          <w:b/>
        </w:rPr>
      </w:pPr>
    </w:p>
    <w:p w:rsidR="00B45458" w:rsidRDefault="007D09D1" w:rsidP="00A97672">
      <w:pPr>
        <w:rPr>
          <w:rFonts w:cs="Arial"/>
          <w:b/>
          <w:color w:val="0070C0"/>
        </w:rPr>
      </w:pPr>
      <w:r>
        <w:rPr>
          <w:rFonts w:cs="Arial"/>
          <w:b/>
          <w:color w:val="0070C0"/>
        </w:rPr>
        <w:t xml:space="preserve">                                                           </w:t>
      </w:r>
    </w:p>
    <w:p w:rsidR="00B45458" w:rsidRDefault="00B45458" w:rsidP="00A97672">
      <w:pPr>
        <w:rPr>
          <w:rFonts w:cs="Arial"/>
          <w:b/>
          <w:color w:val="0070C0"/>
        </w:rPr>
      </w:pPr>
    </w:p>
    <w:p w:rsidR="00B45458" w:rsidRDefault="00B45458" w:rsidP="00A97672">
      <w:pPr>
        <w:rPr>
          <w:rFonts w:cs="Arial"/>
          <w:b/>
          <w:color w:val="0070C0"/>
        </w:rPr>
      </w:pPr>
    </w:p>
    <w:p w:rsidR="00B45458" w:rsidRDefault="00B45458" w:rsidP="00A97672">
      <w:pPr>
        <w:rPr>
          <w:rFonts w:cs="Arial"/>
          <w:b/>
          <w:color w:val="0070C0"/>
        </w:rPr>
      </w:pPr>
    </w:p>
    <w:p w:rsidR="00B45458" w:rsidRDefault="00B45458" w:rsidP="00A97672">
      <w:pPr>
        <w:rPr>
          <w:rFonts w:cs="Arial"/>
          <w:b/>
          <w:color w:val="0070C0"/>
        </w:rPr>
      </w:pPr>
    </w:p>
    <w:p w:rsidR="00B45458" w:rsidRDefault="00B45458" w:rsidP="00A97672">
      <w:pPr>
        <w:rPr>
          <w:rFonts w:cs="Arial"/>
          <w:b/>
          <w:color w:val="0070C0"/>
        </w:rPr>
      </w:pPr>
    </w:p>
    <w:p w:rsidR="00B45458" w:rsidRDefault="00B45458" w:rsidP="00A97672">
      <w:pPr>
        <w:rPr>
          <w:rFonts w:cs="Arial"/>
          <w:b/>
          <w:color w:val="0070C0"/>
        </w:rPr>
      </w:pPr>
    </w:p>
    <w:p w:rsidR="00B45458" w:rsidRDefault="00B45458" w:rsidP="00A97672">
      <w:pPr>
        <w:rPr>
          <w:rFonts w:cs="Arial"/>
          <w:b/>
          <w:color w:val="0070C0"/>
        </w:rPr>
      </w:pPr>
    </w:p>
    <w:p w:rsidR="00B45458" w:rsidRDefault="00B45458" w:rsidP="00A97672">
      <w:pPr>
        <w:rPr>
          <w:rFonts w:cs="Arial"/>
          <w:b/>
          <w:color w:val="0070C0"/>
        </w:rPr>
      </w:pPr>
    </w:p>
    <w:p w:rsidR="00413173" w:rsidRPr="00BB3789" w:rsidRDefault="00413173" w:rsidP="00B45458">
      <w:pPr>
        <w:jc w:val="center"/>
        <w:rPr>
          <w:rFonts w:cs="Arial"/>
          <w:b/>
          <w:color w:val="0070C0"/>
        </w:rPr>
      </w:pPr>
      <w:r w:rsidRPr="00A97672">
        <w:rPr>
          <w:rFonts w:ascii="Bahnschrift SemiCondensed" w:hAnsi="Bahnschrift SemiCondensed"/>
          <w:b/>
          <w:color w:val="0070C0"/>
          <w:sz w:val="32"/>
          <w:szCs w:val="32"/>
        </w:rPr>
        <w:t>Section 1: Summary</w:t>
      </w:r>
    </w:p>
    <w:p w:rsidR="00413173" w:rsidRDefault="00413173" w:rsidP="008E6AC8">
      <w:pPr>
        <w:rPr>
          <w:rFonts w:cs="Arial"/>
          <w:b/>
        </w:rPr>
      </w:pPr>
    </w:p>
    <w:p w:rsidR="00413173" w:rsidRPr="00BB2C08" w:rsidRDefault="00413173" w:rsidP="008E6AC8">
      <w:pPr>
        <w:rPr>
          <w:rFonts w:cs="Arial"/>
        </w:rPr>
      </w:pPr>
      <w:r w:rsidRPr="00BB2C08">
        <w:rPr>
          <w:rFonts w:cs="Arial"/>
        </w:rPr>
        <w:t>The followi</w:t>
      </w:r>
      <w:r w:rsidR="00055550">
        <w:rPr>
          <w:rFonts w:cs="Arial"/>
        </w:rPr>
        <w:t xml:space="preserve">ng pages represent </w:t>
      </w:r>
      <w:r w:rsidRPr="00BB2C08">
        <w:rPr>
          <w:rFonts w:cs="Arial"/>
        </w:rPr>
        <w:t>Financial Report</w:t>
      </w:r>
      <w:r w:rsidR="00D60B62">
        <w:rPr>
          <w:rFonts w:cs="Arial"/>
        </w:rPr>
        <w:t>s</w:t>
      </w:r>
      <w:r w:rsidRPr="00BB2C08">
        <w:rPr>
          <w:rFonts w:cs="Arial"/>
        </w:rPr>
        <w:t xml:space="preserve"> for the City of Springfield</w:t>
      </w:r>
      <w:r w:rsidR="00D60B62">
        <w:rPr>
          <w:rFonts w:cs="Arial"/>
        </w:rPr>
        <w:t xml:space="preserve"> e</w:t>
      </w:r>
      <w:r w:rsidR="00250C6C" w:rsidRPr="00BB2C08">
        <w:rPr>
          <w:rFonts w:cs="Arial"/>
        </w:rPr>
        <w:t>xamining</w:t>
      </w:r>
      <w:r w:rsidRPr="00BB2C08">
        <w:rPr>
          <w:rFonts w:cs="Arial"/>
        </w:rPr>
        <w:t xml:space="preserve"> the peri</w:t>
      </w:r>
      <w:r w:rsidR="009446C7">
        <w:rPr>
          <w:rFonts w:cs="Arial"/>
        </w:rPr>
        <w:t xml:space="preserve">od of </w:t>
      </w:r>
      <w:r w:rsidR="0065695A">
        <w:rPr>
          <w:rFonts w:cs="Arial"/>
        </w:rPr>
        <w:t xml:space="preserve">July </w:t>
      </w:r>
      <w:r w:rsidR="00DC1A60">
        <w:rPr>
          <w:rFonts w:cs="Arial"/>
        </w:rPr>
        <w:t>1, 2021 through September 30</w:t>
      </w:r>
      <w:r w:rsidR="005D1F4B">
        <w:rPr>
          <w:rFonts w:cs="Arial"/>
        </w:rPr>
        <w:t>, 2021</w:t>
      </w:r>
      <w:r w:rsidR="00D60B62">
        <w:rPr>
          <w:rFonts w:cs="Arial"/>
        </w:rPr>
        <w:t xml:space="preserve">.   </w:t>
      </w:r>
      <w:r w:rsidRPr="00BB2C08">
        <w:rPr>
          <w:rFonts w:cs="Arial"/>
        </w:rPr>
        <w:t>The following information is included:</w:t>
      </w:r>
    </w:p>
    <w:p w:rsidR="00413173" w:rsidRPr="00BB2C08" w:rsidRDefault="00413173" w:rsidP="008E6AC8">
      <w:pPr>
        <w:rPr>
          <w:rFonts w:cs="Arial"/>
        </w:rPr>
      </w:pPr>
    </w:p>
    <w:p w:rsidR="00413173" w:rsidRPr="00BB2C08" w:rsidRDefault="00BB2C08" w:rsidP="00BB2C08">
      <w:pPr>
        <w:pStyle w:val="ListParagraph"/>
        <w:numPr>
          <w:ilvl w:val="0"/>
          <w:numId w:val="2"/>
        </w:numPr>
        <w:rPr>
          <w:rFonts w:cs="Arial"/>
        </w:rPr>
      </w:pPr>
      <w:r w:rsidRPr="00BB2C08">
        <w:rPr>
          <w:rFonts w:cs="Arial"/>
        </w:rPr>
        <w:t>Balance Sheets</w:t>
      </w:r>
    </w:p>
    <w:p w:rsidR="00BB2C08" w:rsidRPr="00BB2C08" w:rsidRDefault="00BB2C08" w:rsidP="00BB2C08">
      <w:pPr>
        <w:pStyle w:val="ListParagraph"/>
        <w:numPr>
          <w:ilvl w:val="0"/>
          <w:numId w:val="2"/>
        </w:numPr>
        <w:rPr>
          <w:rFonts w:cs="Arial"/>
        </w:rPr>
      </w:pPr>
      <w:r w:rsidRPr="00BB2C08">
        <w:rPr>
          <w:rFonts w:cs="Arial"/>
        </w:rPr>
        <w:t>Statement of Revenue and Expenditures</w:t>
      </w:r>
    </w:p>
    <w:p w:rsidR="00BB2C08" w:rsidRPr="00BB2C08" w:rsidRDefault="00BB2C08" w:rsidP="00BB2C08">
      <w:pPr>
        <w:pStyle w:val="ListParagraph"/>
        <w:numPr>
          <w:ilvl w:val="0"/>
          <w:numId w:val="2"/>
        </w:numPr>
        <w:rPr>
          <w:rFonts w:cs="Arial"/>
        </w:rPr>
      </w:pPr>
      <w:r w:rsidRPr="00BB2C08">
        <w:rPr>
          <w:rFonts w:cs="Arial"/>
        </w:rPr>
        <w:t>Revenue Data</w:t>
      </w:r>
    </w:p>
    <w:p w:rsidR="00BB2C08" w:rsidRDefault="00BB2C08" w:rsidP="00BB2C08">
      <w:pPr>
        <w:pStyle w:val="ListParagraph"/>
        <w:numPr>
          <w:ilvl w:val="0"/>
          <w:numId w:val="2"/>
        </w:numPr>
        <w:rPr>
          <w:rFonts w:cs="Arial"/>
        </w:rPr>
      </w:pPr>
      <w:r w:rsidRPr="00BB2C08">
        <w:rPr>
          <w:rFonts w:cs="Arial"/>
        </w:rPr>
        <w:t>Expenditure Data</w:t>
      </w:r>
    </w:p>
    <w:p w:rsidR="00DC1A60" w:rsidRPr="00BB2C08" w:rsidRDefault="00DC1A60" w:rsidP="00BB2C08">
      <w:pPr>
        <w:pStyle w:val="ListParagraph"/>
        <w:numPr>
          <w:ilvl w:val="0"/>
          <w:numId w:val="2"/>
        </w:numPr>
        <w:rPr>
          <w:rFonts w:cs="Arial"/>
        </w:rPr>
      </w:pPr>
      <w:r>
        <w:rPr>
          <w:rFonts w:cs="Arial"/>
        </w:rPr>
        <w:t>Grant Data</w:t>
      </w:r>
    </w:p>
    <w:p w:rsidR="00BB2C08" w:rsidRPr="00BB2C08" w:rsidRDefault="00650B8F" w:rsidP="00BB2C08">
      <w:pPr>
        <w:rPr>
          <w:rFonts w:cs="Arial"/>
        </w:rPr>
      </w:pPr>
      <w:r>
        <w:rPr>
          <w:rFonts w:cs="Arial"/>
        </w:rPr>
        <w:t xml:space="preserve"> </w:t>
      </w:r>
    </w:p>
    <w:p w:rsidR="00BB2C08" w:rsidRPr="007F53C8" w:rsidRDefault="00BB2C08" w:rsidP="00BB2C08">
      <w:pPr>
        <w:rPr>
          <w:rFonts w:cs="Arial"/>
          <w:i/>
        </w:rPr>
      </w:pPr>
      <w:r w:rsidRPr="007F53C8">
        <w:rPr>
          <w:rFonts w:cs="Arial"/>
          <w:i/>
        </w:rPr>
        <w:t>Please note: This information has been prepared by the City of Springfield Comptroller’s Department.  It is an unaudited Interim financial report.</w:t>
      </w:r>
      <w:r w:rsidR="005431FF" w:rsidRPr="007F53C8">
        <w:rPr>
          <w:rFonts w:cs="Arial"/>
          <w:i/>
        </w:rPr>
        <w:t xml:space="preserve">  Numbers may not total due to rounding.</w:t>
      </w:r>
    </w:p>
    <w:p w:rsidR="00BB2C08" w:rsidRPr="00BB2C08" w:rsidRDefault="00BB2C08" w:rsidP="00BB2C08">
      <w:pPr>
        <w:rPr>
          <w:rFonts w:cs="Arial"/>
        </w:rPr>
      </w:pPr>
    </w:p>
    <w:p w:rsidR="00BB2C08" w:rsidRPr="00BB2C08" w:rsidRDefault="00BB2C08" w:rsidP="00BB2C08">
      <w:pPr>
        <w:rPr>
          <w:rFonts w:cs="Arial"/>
          <w:b/>
        </w:rPr>
      </w:pPr>
    </w:p>
    <w:p w:rsidR="00413173" w:rsidRDefault="00413173" w:rsidP="008E6AC8">
      <w:pPr>
        <w:rPr>
          <w:rFonts w:cs="Arial"/>
          <w:b/>
        </w:rPr>
      </w:pP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413173" w:rsidRDefault="00413173" w:rsidP="008E6AC8">
      <w:pPr>
        <w:rPr>
          <w:rFonts w:cs="Arial"/>
          <w:b/>
        </w:rPr>
      </w:pPr>
    </w:p>
    <w:p w:rsidR="00823E45" w:rsidRDefault="00823E45" w:rsidP="008E6AC8">
      <w:pPr>
        <w:rPr>
          <w:rFonts w:cs="Arial"/>
          <w:b/>
        </w:rPr>
      </w:pPr>
    </w:p>
    <w:p w:rsidR="00823E45" w:rsidRDefault="00823E45" w:rsidP="008E6AC8">
      <w:pPr>
        <w:rPr>
          <w:rFonts w:cs="Arial"/>
          <w:b/>
        </w:rPr>
      </w:pPr>
    </w:p>
    <w:p w:rsidR="00823E45" w:rsidRDefault="00823E45" w:rsidP="008E6AC8">
      <w:pPr>
        <w:rPr>
          <w:rFonts w:cs="Arial"/>
          <w:b/>
        </w:rPr>
      </w:pPr>
    </w:p>
    <w:p w:rsidR="00823E45" w:rsidRDefault="00823E45" w:rsidP="008E6AC8">
      <w:pPr>
        <w:rPr>
          <w:rFonts w:cs="Arial"/>
          <w:b/>
        </w:rPr>
      </w:pPr>
    </w:p>
    <w:p w:rsidR="00823E45" w:rsidRDefault="00823E45" w:rsidP="008E6AC8">
      <w:pPr>
        <w:rPr>
          <w:rFonts w:cs="Arial"/>
          <w:b/>
        </w:rPr>
      </w:pPr>
    </w:p>
    <w:p w:rsidR="00823E45" w:rsidRDefault="00823E45" w:rsidP="008E6AC8">
      <w:pPr>
        <w:rPr>
          <w:rFonts w:cs="Arial"/>
          <w:b/>
        </w:rPr>
      </w:pPr>
    </w:p>
    <w:p w:rsidR="00D60B62" w:rsidRDefault="00D60B62" w:rsidP="008E6AC8">
      <w:pPr>
        <w:rPr>
          <w:rFonts w:cs="Arial"/>
          <w:b/>
        </w:rPr>
      </w:pPr>
    </w:p>
    <w:p w:rsidR="00B45458" w:rsidRDefault="00B45458" w:rsidP="009D5E33">
      <w:pPr>
        <w:jc w:val="center"/>
        <w:rPr>
          <w:rFonts w:ascii="Bahnschrift SemiCondensed" w:hAnsi="Bahnschrift SemiCondensed"/>
          <w:b/>
          <w:color w:val="0070C0"/>
          <w:sz w:val="32"/>
          <w:szCs w:val="32"/>
        </w:rPr>
      </w:pPr>
    </w:p>
    <w:p w:rsidR="001A38D9" w:rsidRPr="001A38D9" w:rsidRDefault="001D1EBC" w:rsidP="001A38D9">
      <w:pPr>
        <w:jc w:val="center"/>
        <w:rPr>
          <w:rFonts w:ascii="Bahnschrift SemiCondensed" w:hAnsi="Bahnschrift SemiCondensed"/>
          <w:b/>
          <w:color w:val="0070C0"/>
          <w:sz w:val="32"/>
          <w:szCs w:val="32"/>
        </w:rPr>
      </w:pPr>
      <w:r>
        <w:rPr>
          <w:rFonts w:ascii="Bahnschrift SemiCondensed" w:hAnsi="Bahnschrift SemiCondensed"/>
          <w:b/>
          <w:color w:val="0070C0"/>
          <w:sz w:val="32"/>
          <w:szCs w:val="32"/>
        </w:rPr>
        <w:t>Section</w:t>
      </w:r>
      <w:r w:rsidR="00BB2C08" w:rsidRPr="00A97672">
        <w:rPr>
          <w:rFonts w:ascii="Bahnschrift SemiCondensed" w:hAnsi="Bahnschrift SemiCondensed"/>
          <w:b/>
          <w:color w:val="0070C0"/>
          <w:sz w:val="32"/>
          <w:szCs w:val="32"/>
        </w:rPr>
        <w:t xml:space="preserve"> 2</w:t>
      </w:r>
      <w:r w:rsidR="001A38D9">
        <w:rPr>
          <w:rFonts w:ascii="Bahnschrift SemiCondensed" w:hAnsi="Bahnschrift SemiCondensed"/>
          <w:b/>
          <w:color w:val="0070C0"/>
          <w:sz w:val="32"/>
          <w:szCs w:val="32"/>
        </w:rPr>
        <w:t>:</w:t>
      </w:r>
      <w:r w:rsidR="001A38D9">
        <w:rPr>
          <w:rFonts w:ascii="Bahnschrift SemiCondensed" w:hAnsi="Bahnschrift SemiCondensed"/>
          <w:b/>
          <w:color w:val="0070C0"/>
          <w:sz w:val="32"/>
          <w:szCs w:val="32"/>
        </w:rPr>
        <w:tab/>
        <w:t>Balance Sheets</w:t>
      </w:r>
    </w:p>
    <w:p w:rsidR="00067337" w:rsidRPr="006160CD" w:rsidRDefault="00067337" w:rsidP="009D5E33">
      <w:pPr>
        <w:jc w:val="center"/>
      </w:pPr>
    </w:p>
    <w:p w:rsidR="008E6AC8" w:rsidRDefault="008E6AC8" w:rsidP="008E6AC8">
      <w:pPr>
        <w:rPr>
          <w:rFonts w:cs="Arial"/>
        </w:rPr>
      </w:pPr>
      <w:r>
        <w:rPr>
          <w:rFonts w:cs="Arial"/>
        </w:rPr>
        <w:t xml:space="preserve">Section two of the Quarterly Financial Report </w:t>
      </w:r>
      <w:r w:rsidRPr="00E05B49">
        <w:rPr>
          <w:rFonts w:cs="Arial"/>
        </w:rPr>
        <w:t>is intended to serve as an introduction to the City of Springfield’s balance sheets.  These balance sheets are comprised of three components.</w:t>
      </w:r>
    </w:p>
    <w:p w:rsidR="008E6AC8" w:rsidRPr="00E05B49" w:rsidRDefault="008E6AC8" w:rsidP="008E6AC8">
      <w:pPr>
        <w:rPr>
          <w:rFonts w:cs="Arial"/>
        </w:rPr>
      </w:pPr>
    </w:p>
    <w:p w:rsidR="008E6AC8" w:rsidRDefault="00C62076" w:rsidP="008E6AC8">
      <w:pPr>
        <w:rPr>
          <w:rFonts w:cs="Arial"/>
          <w:b/>
        </w:rPr>
      </w:pPr>
      <w:r>
        <w:rPr>
          <w:rFonts w:cs="Arial"/>
          <w:b/>
        </w:rPr>
        <w:t xml:space="preserve">        </w:t>
      </w:r>
      <w:r w:rsidR="00E072ED">
        <w:rPr>
          <w:rFonts w:cs="Arial"/>
          <w:b/>
        </w:rPr>
        <w:t xml:space="preserve">   </w:t>
      </w:r>
      <w:r>
        <w:rPr>
          <w:rFonts w:cs="Arial"/>
          <w:b/>
        </w:rPr>
        <w:t xml:space="preserve"> </w:t>
      </w:r>
      <w:r w:rsidR="008E6AC8" w:rsidRPr="001757E5">
        <w:rPr>
          <w:rFonts w:cs="Arial"/>
          <w:b/>
        </w:rPr>
        <w:t>Governmental</w:t>
      </w:r>
      <w:r w:rsidR="008E6AC8" w:rsidRPr="001757E5">
        <w:rPr>
          <w:rFonts w:cs="Arial"/>
          <w:b/>
        </w:rPr>
        <w:tab/>
      </w:r>
      <w:r w:rsidR="008E6AC8" w:rsidRPr="001757E5">
        <w:rPr>
          <w:rFonts w:cs="Arial"/>
          <w:b/>
        </w:rPr>
        <w:tab/>
      </w:r>
      <w:r w:rsidR="008E6AC8" w:rsidRPr="001757E5">
        <w:rPr>
          <w:rFonts w:cs="Arial"/>
          <w:b/>
        </w:rPr>
        <w:tab/>
      </w:r>
      <w:r w:rsidR="0065695A">
        <w:rPr>
          <w:rFonts w:cs="Arial"/>
          <w:b/>
        </w:rPr>
        <w:t xml:space="preserve">    </w:t>
      </w:r>
      <w:r>
        <w:rPr>
          <w:rFonts w:cs="Arial"/>
          <w:b/>
        </w:rPr>
        <w:t xml:space="preserve"> </w:t>
      </w:r>
      <w:r w:rsidR="008E6AC8" w:rsidRPr="001757E5">
        <w:rPr>
          <w:rFonts w:cs="Arial"/>
          <w:b/>
        </w:rPr>
        <w:t>Proprietary</w:t>
      </w:r>
      <w:r w:rsidR="008E6AC8" w:rsidRPr="001757E5">
        <w:rPr>
          <w:rFonts w:cs="Arial"/>
          <w:b/>
        </w:rPr>
        <w:tab/>
      </w:r>
      <w:r w:rsidR="008E6AC8" w:rsidRPr="001757E5">
        <w:rPr>
          <w:rFonts w:cs="Arial"/>
          <w:b/>
        </w:rPr>
        <w:tab/>
      </w:r>
      <w:r w:rsidR="008E6AC8" w:rsidRPr="001757E5">
        <w:rPr>
          <w:rFonts w:cs="Arial"/>
          <w:b/>
        </w:rPr>
        <w:tab/>
      </w:r>
      <w:r w:rsidR="00E072ED">
        <w:rPr>
          <w:rFonts w:cs="Arial"/>
          <w:b/>
        </w:rPr>
        <w:t xml:space="preserve">           </w:t>
      </w:r>
      <w:r>
        <w:rPr>
          <w:rFonts w:cs="Arial"/>
          <w:b/>
        </w:rPr>
        <w:t xml:space="preserve"> </w:t>
      </w:r>
      <w:r w:rsidR="008E6AC8" w:rsidRPr="001757E5">
        <w:rPr>
          <w:rFonts w:cs="Arial"/>
          <w:b/>
        </w:rPr>
        <w:t>Fiduciary</w:t>
      </w:r>
    </w:p>
    <w:p w:rsidR="0065695A" w:rsidRDefault="0065695A" w:rsidP="008E6AC8">
      <w:pPr>
        <w:rPr>
          <w:rFonts w:cs="Arial"/>
          <w:b/>
        </w:rPr>
      </w:pPr>
    </w:p>
    <w:p w:rsidR="0065695A" w:rsidRPr="001757E5" w:rsidRDefault="0065695A" w:rsidP="008E6AC8">
      <w:pPr>
        <w:rPr>
          <w:rFonts w:cs="Arial"/>
          <w:b/>
        </w:rPr>
      </w:pPr>
    </w:p>
    <w:p w:rsidR="008E6AC8" w:rsidRPr="00E05B49" w:rsidRDefault="008E6AC8" w:rsidP="008E6AC8">
      <w:pPr>
        <w:rPr>
          <w:rFonts w:cs="Arial"/>
        </w:rPr>
      </w:pPr>
    </w:p>
    <w:p w:rsidR="008E6AC8" w:rsidRPr="0065695A" w:rsidRDefault="008E6AC8" w:rsidP="008E6AC8">
      <w:pPr>
        <w:jc w:val="center"/>
        <w:rPr>
          <w:rFonts w:cs="Arial"/>
          <w:b/>
          <w:color w:val="548DD4" w:themeColor="text2" w:themeTint="99"/>
          <w:u w:val="single"/>
        </w:rPr>
      </w:pPr>
      <w:r w:rsidRPr="0065695A">
        <w:rPr>
          <w:rFonts w:cs="Arial"/>
          <w:b/>
          <w:color w:val="548DD4" w:themeColor="text2" w:themeTint="99"/>
          <w:u w:val="single"/>
        </w:rPr>
        <w:t>GOVERNMENTAL FUND TYPE</w:t>
      </w:r>
    </w:p>
    <w:p w:rsidR="008E6AC8" w:rsidRPr="00E05B49" w:rsidRDefault="008E6AC8" w:rsidP="008E6AC8">
      <w:pPr>
        <w:rPr>
          <w:rFonts w:cs="Arial"/>
          <w:u w:val="single"/>
        </w:rPr>
      </w:pPr>
    </w:p>
    <w:p w:rsidR="008E6AC8" w:rsidRPr="00E05B49" w:rsidRDefault="008E6AC8" w:rsidP="008E6AC8">
      <w:pPr>
        <w:autoSpaceDE w:val="0"/>
        <w:autoSpaceDN w:val="0"/>
        <w:adjustRightInd w:val="0"/>
        <w:rPr>
          <w:rFonts w:cs="Arial"/>
        </w:rPr>
      </w:pPr>
      <w:r w:rsidRPr="00E05B49">
        <w:rPr>
          <w:rFonts w:cs="Arial"/>
          <w:b/>
          <w:bCs/>
        </w:rPr>
        <w:t xml:space="preserve">General Fund </w:t>
      </w:r>
      <w:r w:rsidRPr="00E05B49">
        <w:rPr>
          <w:rFonts w:cs="Arial"/>
        </w:rPr>
        <w:t>– The fund used to account for most financial resources and activities governed by the normal town meeting/city council appropriation process.</w:t>
      </w:r>
    </w:p>
    <w:p w:rsidR="008E6AC8" w:rsidRPr="00E05B49" w:rsidRDefault="008E6AC8" w:rsidP="008E6AC8">
      <w:pPr>
        <w:autoSpaceDE w:val="0"/>
        <w:autoSpaceDN w:val="0"/>
        <w:adjustRightInd w:val="0"/>
      </w:pPr>
    </w:p>
    <w:p w:rsidR="008E6AC8" w:rsidRPr="00E05B49" w:rsidRDefault="008E6AC8" w:rsidP="008E6AC8">
      <w:pPr>
        <w:autoSpaceDE w:val="0"/>
        <w:autoSpaceDN w:val="0"/>
        <w:adjustRightInd w:val="0"/>
      </w:pPr>
      <w:r w:rsidRPr="00E05B49">
        <w:rPr>
          <w:rFonts w:cs="Arial"/>
          <w:b/>
          <w:bCs/>
        </w:rPr>
        <w:t xml:space="preserve">Stabilization Fund </w:t>
      </w:r>
      <w:r w:rsidRPr="00E05B49">
        <w:rPr>
          <w:rFonts w:cs="Arial"/>
        </w:rPr>
        <w:t>– A fund designed to accumulate amounts for capital and other future spending purposes, although it may be appropriated for any lawful purpose (MGL Ch. 40 §5B). Communities may establish one or more stabilization funds for different purposes and may appropriate into them in any year an amount not to exceed ten percent of the prior year’s tax levy. The total of all stabilization fund balances shall not exceed ten percent of the community’s equalized value, and any interest shall be added to and become a part of the funds. A two-thirds vote of town meeting or city council is required to establish, amend the purpose of, or appropriate money into or from the stabilization fund. (See DOR IGR 04-201)</w:t>
      </w:r>
    </w:p>
    <w:p w:rsidR="008E6AC8" w:rsidRPr="00E05B49" w:rsidRDefault="008E6AC8" w:rsidP="008E6AC8"/>
    <w:p w:rsidR="008E6AC8" w:rsidRDefault="008E6AC8" w:rsidP="008E6AC8">
      <w:pPr>
        <w:autoSpaceDE w:val="0"/>
        <w:autoSpaceDN w:val="0"/>
        <w:adjustRightInd w:val="0"/>
        <w:rPr>
          <w:rFonts w:cs="Arial"/>
        </w:rPr>
      </w:pPr>
      <w:r w:rsidRPr="00E05B49">
        <w:rPr>
          <w:rFonts w:cs="Arial"/>
          <w:b/>
          <w:bCs/>
        </w:rPr>
        <w:t xml:space="preserve">Special Revenue Fund </w:t>
      </w:r>
      <w:r w:rsidRPr="00E05B49">
        <w:rPr>
          <w:rFonts w:cs="Arial"/>
        </w:rPr>
        <w:t>– Funds, established by statute only, containing revenues that are earmarked for and restricted to expenditures for specific purposes. Special revenue funds include</w:t>
      </w:r>
      <w:r>
        <w:rPr>
          <w:rFonts w:cs="Arial"/>
        </w:rPr>
        <w:t xml:space="preserve"> </w:t>
      </w:r>
      <w:r w:rsidRPr="00E05B49">
        <w:rPr>
          <w:rFonts w:cs="Arial"/>
        </w:rPr>
        <w:t>receipts reserved for appropriation, revolving funds, grants from governmental entities, and gifts from private individuals or organizations.</w:t>
      </w:r>
    </w:p>
    <w:p w:rsidR="0065695A" w:rsidRDefault="0065695A" w:rsidP="008E6AC8">
      <w:pPr>
        <w:autoSpaceDE w:val="0"/>
        <w:autoSpaceDN w:val="0"/>
        <w:adjustRightInd w:val="0"/>
        <w:rPr>
          <w:rFonts w:cs="Arial"/>
        </w:rPr>
      </w:pPr>
    </w:p>
    <w:p w:rsidR="0065695A" w:rsidRDefault="0065695A" w:rsidP="0065695A">
      <w:pPr>
        <w:autoSpaceDE w:val="0"/>
        <w:autoSpaceDN w:val="0"/>
        <w:adjustRightInd w:val="0"/>
        <w:rPr>
          <w:rFonts w:cs="Arial"/>
        </w:rPr>
      </w:pPr>
      <w:r w:rsidRPr="0065695A">
        <w:rPr>
          <w:rFonts w:cs="Arial"/>
          <w:b/>
          <w:bCs/>
        </w:rPr>
        <w:t>Covid-19 Fund</w:t>
      </w:r>
      <w:r w:rsidRPr="00E05B49">
        <w:rPr>
          <w:rFonts w:cs="Arial"/>
          <w:b/>
          <w:bCs/>
        </w:rPr>
        <w:t xml:space="preserve"> </w:t>
      </w:r>
      <w:r w:rsidRPr="00E05B49">
        <w:rPr>
          <w:rFonts w:cs="Arial"/>
        </w:rPr>
        <w:t>– Fund type used to</w:t>
      </w:r>
      <w:r>
        <w:rPr>
          <w:rFonts w:cs="Arial"/>
        </w:rPr>
        <w:t xml:space="preserve"> </w:t>
      </w:r>
      <w:r w:rsidRPr="00E05B49">
        <w:rPr>
          <w:rFonts w:cs="Arial"/>
        </w:rPr>
        <w:t>account for financ</w:t>
      </w:r>
      <w:r>
        <w:rPr>
          <w:rFonts w:cs="Arial"/>
        </w:rPr>
        <w:t xml:space="preserve">ial resources to be used for expenses related to </w:t>
      </w:r>
    </w:p>
    <w:p w:rsidR="00A370FD" w:rsidRDefault="0065695A" w:rsidP="0065695A">
      <w:pPr>
        <w:autoSpaceDE w:val="0"/>
        <w:autoSpaceDN w:val="0"/>
        <w:adjustRightInd w:val="0"/>
        <w:rPr>
          <w:rFonts w:cs="Arial"/>
        </w:rPr>
      </w:pPr>
      <w:r>
        <w:rPr>
          <w:rFonts w:cs="Arial"/>
        </w:rPr>
        <w:t>the Covid-19 global flu virus pandemic.  These funds have been allocated for use by the City of Springfield to vaccinate its citizens and make necessary improvements to battle this pandemic.</w:t>
      </w:r>
    </w:p>
    <w:p w:rsidR="0065695A" w:rsidRDefault="0065695A" w:rsidP="0065695A">
      <w:pPr>
        <w:autoSpaceDE w:val="0"/>
        <w:autoSpaceDN w:val="0"/>
        <w:adjustRightInd w:val="0"/>
        <w:rPr>
          <w:rFonts w:cs="Arial"/>
          <w:b/>
        </w:rPr>
      </w:pPr>
    </w:p>
    <w:p w:rsidR="0065695A" w:rsidRPr="0065695A" w:rsidRDefault="0065695A" w:rsidP="0065695A">
      <w:pPr>
        <w:autoSpaceDE w:val="0"/>
        <w:autoSpaceDN w:val="0"/>
        <w:adjustRightInd w:val="0"/>
        <w:rPr>
          <w:rFonts w:cs="Arial"/>
          <w:bCs/>
        </w:rPr>
      </w:pPr>
      <w:r w:rsidRPr="0065695A">
        <w:rPr>
          <w:b/>
          <w:bCs/>
        </w:rPr>
        <w:t>Community Preservation Act</w:t>
      </w:r>
      <w:r>
        <w:rPr>
          <w:rFonts w:cs="Arial"/>
          <w:b/>
          <w:bCs/>
        </w:rPr>
        <w:t> (CPA)</w:t>
      </w:r>
      <w:r w:rsidRPr="0065695A">
        <w:rPr>
          <w:rFonts w:cs="Arial"/>
          <w:b/>
          <w:bCs/>
        </w:rPr>
        <w:t xml:space="preserve"> - </w:t>
      </w:r>
      <w:r w:rsidRPr="0065695A">
        <w:rPr>
          <w:rFonts w:cs="Arial"/>
          <w:bCs/>
        </w:rPr>
        <w:t>was created by state law (MGL Chapter 44B).</w:t>
      </w:r>
      <w:r w:rsidRPr="0065695A">
        <w:rPr>
          <w:rFonts w:cs="Arial"/>
          <w:b/>
          <w:bCs/>
        </w:rPr>
        <w:t xml:space="preserve"> It</w:t>
      </w:r>
      <w:r w:rsidRPr="0065695A">
        <w:t> allows cities and towns to adopt a property tax surcharge to help fund projects that preserve the character of the community</w:t>
      </w:r>
      <w:r w:rsidRPr="0065695A">
        <w:rPr>
          <w:rFonts w:cs="Arial"/>
          <w:b/>
          <w:bCs/>
        </w:rPr>
        <w:t xml:space="preserve">. </w:t>
      </w:r>
      <w:r w:rsidRPr="0065695A">
        <w:rPr>
          <w:rFonts w:cs="Arial"/>
          <w:bCs/>
        </w:rPr>
        <w:t>Springfield voters adopted the CPA on November 8, 2016 and it went into effect on July 1, 2017. </w:t>
      </w:r>
    </w:p>
    <w:p w:rsidR="0065695A" w:rsidRPr="0065695A" w:rsidRDefault="0065695A" w:rsidP="0065695A">
      <w:pPr>
        <w:autoSpaceDE w:val="0"/>
        <w:autoSpaceDN w:val="0"/>
        <w:adjustRightInd w:val="0"/>
        <w:rPr>
          <w:rFonts w:cs="Arial"/>
        </w:rPr>
      </w:pPr>
    </w:p>
    <w:p w:rsidR="00A370FD" w:rsidRPr="00A370FD" w:rsidRDefault="00A370FD" w:rsidP="008E6AC8">
      <w:pPr>
        <w:autoSpaceDE w:val="0"/>
        <w:autoSpaceDN w:val="0"/>
        <w:adjustRightInd w:val="0"/>
        <w:rPr>
          <w:rFonts w:cs="Arial"/>
          <w:b/>
          <w:bCs/>
        </w:rPr>
      </w:pPr>
      <w:r w:rsidRPr="0065695A">
        <w:rPr>
          <w:rFonts w:cs="Arial"/>
          <w:b/>
          <w:bCs/>
        </w:rPr>
        <w:t>American Rescue Plan Act (ARPA) -</w:t>
      </w:r>
      <w:r>
        <w:rPr>
          <w:rFonts w:cs="Arial"/>
          <w:b/>
          <w:bCs/>
        </w:rPr>
        <w:t xml:space="preserve"> </w:t>
      </w:r>
      <w:r>
        <w:t>was sig</w:t>
      </w:r>
      <w:r w:rsidR="00926113">
        <w:t xml:space="preserve">ned into law </w:t>
      </w:r>
      <w:r>
        <w:t>on March 11, 2021. ARPA is the latest in a series of Coronavirus Disease 2019 (COVID-19)-related relief and economic stimulus legislation.</w:t>
      </w:r>
    </w:p>
    <w:p w:rsidR="00332861" w:rsidRDefault="00332861" w:rsidP="008E6AC8">
      <w:pPr>
        <w:autoSpaceDE w:val="0"/>
        <w:autoSpaceDN w:val="0"/>
        <w:adjustRightInd w:val="0"/>
        <w:rPr>
          <w:rFonts w:cs="Arial"/>
        </w:rPr>
      </w:pPr>
    </w:p>
    <w:p w:rsidR="008E6AC8" w:rsidRDefault="008E6AC8" w:rsidP="008E6AC8">
      <w:pPr>
        <w:autoSpaceDE w:val="0"/>
        <w:autoSpaceDN w:val="0"/>
        <w:adjustRightInd w:val="0"/>
        <w:rPr>
          <w:rFonts w:cs="Arial"/>
        </w:rPr>
      </w:pPr>
      <w:r w:rsidRPr="00E05B49">
        <w:rPr>
          <w:rFonts w:cs="Arial"/>
          <w:b/>
          <w:bCs/>
        </w:rPr>
        <w:t>Capital</w:t>
      </w:r>
      <w:r w:rsidR="00CF50DE">
        <w:rPr>
          <w:rFonts w:cs="Arial"/>
          <w:b/>
          <w:bCs/>
        </w:rPr>
        <w:t xml:space="preserve"> Project</w:t>
      </w:r>
      <w:r w:rsidRPr="00E05B49">
        <w:rPr>
          <w:rFonts w:cs="Arial"/>
          <w:b/>
          <w:bCs/>
        </w:rPr>
        <w:t xml:space="preserve"> Fund</w:t>
      </w:r>
      <w:r w:rsidR="00CF50DE">
        <w:rPr>
          <w:rFonts w:cs="Arial"/>
          <w:b/>
          <w:bCs/>
        </w:rPr>
        <w:t>s</w:t>
      </w:r>
      <w:r w:rsidRPr="00E05B49">
        <w:rPr>
          <w:rFonts w:cs="Arial"/>
          <w:b/>
          <w:bCs/>
        </w:rPr>
        <w:t xml:space="preserve"> </w:t>
      </w:r>
      <w:r w:rsidRPr="00E05B49">
        <w:rPr>
          <w:rFonts w:cs="Arial"/>
        </w:rPr>
        <w:t>– Fund type used to</w:t>
      </w:r>
      <w:r>
        <w:rPr>
          <w:rFonts w:cs="Arial"/>
        </w:rPr>
        <w:t xml:space="preserve"> </w:t>
      </w:r>
      <w:r w:rsidRPr="00E05B49">
        <w:rPr>
          <w:rFonts w:cs="Arial"/>
        </w:rPr>
        <w:t>account for financial resources to be used for the</w:t>
      </w:r>
      <w:r>
        <w:rPr>
          <w:rFonts w:cs="Arial"/>
        </w:rPr>
        <w:t xml:space="preserve"> </w:t>
      </w:r>
      <w:r w:rsidRPr="00E05B49">
        <w:rPr>
          <w:rFonts w:cs="Arial"/>
        </w:rPr>
        <w:t>acquisition or construction of major capital facilities</w:t>
      </w:r>
      <w:r>
        <w:rPr>
          <w:rFonts w:cs="Arial"/>
        </w:rPr>
        <w:t xml:space="preserve"> </w:t>
      </w:r>
      <w:r w:rsidRPr="00E05B49">
        <w:rPr>
          <w:rFonts w:cs="Arial"/>
        </w:rPr>
        <w:t>(other than those financed by proprietary funds).</w:t>
      </w: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8E6AC8" w:rsidRPr="0065695A" w:rsidRDefault="008E6AC8" w:rsidP="00CF50DE">
      <w:pPr>
        <w:jc w:val="center"/>
        <w:rPr>
          <w:rFonts w:cs="Arial"/>
          <w:b/>
          <w:color w:val="548DD4" w:themeColor="text2" w:themeTint="99"/>
          <w:u w:val="single"/>
        </w:rPr>
      </w:pPr>
      <w:r w:rsidRPr="0065695A">
        <w:rPr>
          <w:rFonts w:cs="Arial"/>
          <w:b/>
          <w:color w:val="548DD4" w:themeColor="text2" w:themeTint="99"/>
          <w:u w:val="single"/>
        </w:rPr>
        <w:t>PROPRIETARY FUND TYPE</w:t>
      </w:r>
    </w:p>
    <w:p w:rsidR="008E6AC8" w:rsidRPr="0033287E" w:rsidRDefault="008E6AC8" w:rsidP="008E6AC8">
      <w:pPr>
        <w:rPr>
          <w:b/>
          <w:sz w:val="28"/>
          <w:szCs w:val="28"/>
        </w:rPr>
      </w:pPr>
    </w:p>
    <w:p w:rsidR="008E6AC8" w:rsidRPr="00E05B49" w:rsidRDefault="008E6AC8" w:rsidP="008E6AC8">
      <w:pPr>
        <w:autoSpaceDE w:val="0"/>
        <w:autoSpaceDN w:val="0"/>
        <w:adjustRightInd w:val="0"/>
        <w:rPr>
          <w:rFonts w:cs="Arial"/>
        </w:rPr>
      </w:pPr>
      <w:r w:rsidRPr="00E05B49">
        <w:rPr>
          <w:rFonts w:cs="Arial"/>
          <w:b/>
          <w:bCs/>
        </w:rPr>
        <w:t xml:space="preserve">Enterprise Fund </w:t>
      </w:r>
      <w:r w:rsidRPr="00E05B49">
        <w:rPr>
          <w:rFonts w:cs="Arial"/>
        </w:rPr>
        <w:t>– An enterprise fund, authorized</w:t>
      </w:r>
      <w:r>
        <w:rPr>
          <w:rFonts w:cs="Arial"/>
        </w:rPr>
        <w:t xml:space="preserve"> </w:t>
      </w:r>
      <w:r w:rsidRPr="00E05B49">
        <w:rPr>
          <w:rFonts w:cs="Arial"/>
        </w:rPr>
        <w:t>by MGL Ch. 44 §53F½, is a separate accounting</w:t>
      </w:r>
      <w:r>
        <w:rPr>
          <w:rFonts w:cs="Arial"/>
        </w:rPr>
        <w:t xml:space="preserve"> </w:t>
      </w:r>
      <w:r w:rsidRPr="00E05B49">
        <w:rPr>
          <w:rFonts w:cs="Arial"/>
        </w:rPr>
        <w:t>and financial reporting mechanism for municipal</w:t>
      </w:r>
      <w:r>
        <w:rPr>
          <w:rFonts w:cs="Arial"/>
        </w:rPr>
        <w:t xml:space="preserve"> </w:t>
      </w:r>
      <w:r w:rsidRPr="00E05B49">
        <w:rPr>
          <w:rFonts w:cs="Arial"/>
        </w:rPr>
        <w:t>services for which a fee is charged in exchange for</w:t>
      </w:r>
      <w:r>
        <w:rPr>
          <w:rFonts w:cs="Arial"/>
        </w:rPr>
        <w:t xml:space="preserve"> </w:t>
      </w:r>
      <w:r w:rsidRPr="00E05B49">
        <w:rPr>
          <w:rFonts w:cs="Arial"/>
        </w:rPr>
        <w:t>goods or services. It allows a community to</w:t>
      </w:r>
      <w:r>
        <w:rPr>
          <w:rFonts w:cs="Arial"/>
        </w:rPr>
        <w:t xml:space="preserve"> </w:t>
      </w:r>
      <w:r w:rsidRPr="00E05B49">
        <w:rPr>
          <w:rFonts w:cs="Arial"/>
        </w:rPr>
        <w:t>demonstrate to the public the portion of total costs</w:t>
      </w:r>
      <w:r>
        <w:rPr>
          <w:rFonts w:cs="Arial"/>
        </w:rPr>
        <w:t xml:space="preserve"> </w:t>
      </w:r>
      <w:r w:rsidRPr="00E05B49">
        <w:rPr>
          <w:rFonts w:cs="Arial"/>
        </w:rPr>
        <w:t>of a service that is recovered through user charges</w:t>
      </w:r>
      <w:r w:rsidR="00203A41">
        <w:rPr>
          <w:rFonts w:cs="Arial"/>
        </w:rPr>
        <w:t xml:space="preserve"> a</w:t>
      </w:r>
      <w:r w:rsidR="00250C6C" w:rsidRPr="00E05B49">
        <w:rPr>
          <w:rFonts w:cs="Arial"/>
        </w:rPr>
        <w:t>nd</w:t>
      </w:r>
      <w:r w:rsidRPr="00E05B49">
        <w:rPr>
          <w:rFonts w:cs="Arial"/>
        </w:rPr>
        <w:t xml:space="preserve"> the portion that is subsidized by the tax levy, if</w:t>
      </w:r>
      <w:r>
        <w:rPr>
          <w:rFonts w:cs="Arial"/>
        </w:rPr>
        <w:t xml:space="preserve"> </w:t>
      </w:r>
      <w:r w:rsidRPr="00E05B49">
        <w:rPr>
          <w:rFonts w:cs="Arial"/>
        </w:rPr>
        <w:t>any. With an enterprise fund, all costs of service</w:t>
      </w:r>
      <w:r>
        <w:rPr>
          <w:rFonts w:cs="Arial"/>
        </w:rPr>
        <w:t xml:space="preserve"> </w:t>
      </w:r>
      <w:r w:rsidRPr="00E05B49">
        <w:rPr>
          <w:rFonts w:cs="Arial"/>
        </w:rPr>
        <w:t>delivery--direct, indirect, and capital costs</w:t>
      </w:r>
      <w:r>
        <w:rPr>
          <w:rFonts w:cs="Arial"/>
        </w:rPr>
        <w:t>—</w:t>
      </w:r>
      <w:r w:rsidRPr="00E05B49">
        <w:rPr>
          <w:rFonts w:cs="Arial"/>
        </w:rPr>
        <w:t>are</w:t>
      </w:r>
      <w:r>
        <w:rPr>
          <w:rFonts w:cs="Arial"/>
        </w:rPr>
        <w:t xml:space="preserve"> </w:t>
      </w:r>
      <w:r w:rsidRPr="00E05B49">
        <w:rPr>
          <w:rFonts w:cs="Arial"/>
        </w:rPr>
        <w:t>identified. This allows the community to recover</w:t>
      </w:r>
      <w:r>
        <w:rPr>
          <w:rFonts w:cs="Arial"/>
        </w:rPr>
        <w:t xml:space="preserve"> </w:t>
      </w:r>
      <w:r w:rsidRPr="00E05B49">
        <w:rPr>
          <w:rFonts w:cs="Arial"/>
        </w:rPr>
        <w:t>total service costs through user fees if it chooses.</w:t>
      </w:r>
      <w:r>
        <w:rPr>
          <w:rFonts w:cs="Arial"/>
        </w:rPr>
        <w:t xml:space="preserve"> </w:t>
      </w:r>
      <w:r w:rsidRPr="00E05B49">
        <w:rPr>
          <w:rFonts w:cs="Arial"/>
        </w:rPr>
        <w:t>Enterprise accounting also enables communities to</w:t>
      </w:r>
      <w:r>
        <w:rPr>
          <w:rFonts w:cs="Arial"/>
        </w:rPr>
        <w:t xml:space="preserve"> </w:t>
      </w:r>
      <w:r w:rsidRPr="00E05B49">
        <w:rPr>
          <w:rFonts w:cs="Arial"/>
        </w:rPr>
        <w:t>reserve the "surplus" or net assets unrestricted</w:t>
      </w:r>
      <w:r w:rsidR="00203A41">
        <w:rPr>
          <w:rFonts w:cs="Arial"/>
        </w:rPr>
        <w:t xml:space="preserve"> </w:t>
      </w:r>
      <w:r w:rsidRPr="00E05B49">
        <w:rPr>
          <w:rFonts w:cs="Arial"/>
        </w:rPr>
        <w:t>generated by the operation of the enterprise rather</w:t>
      </w:r>
      <w:r>
        <w:rPr>
          <w:rFonts w:cs="Arial"/>
        </w:rPr>
        <w:t xml:space="preserve"> </w:t>
      </w:r>
      <w:r w:rsidRPr="00E05B49">
        <w:rPr>
          <w:rFonts w:cs="Arial"/>
        </w:rPr>
        <w:t>than closing it out to the general fund at year-end.</w:t>
      </w:r>
      <w:r>
        <w:rPr>
          <w:rFonts w:cs="Arial"/>
        </w:rPr>
        <w:t xml:space="preserve"> </w:t>
      </w:r>
      <w:r w:rsidRPr="00E05B49">
        <w:rPr>
          <w:rFonts w:cs="Arial"/>
        </w:rPr>
        <w:t>Services that may be treated as enterprises include,</w:t>
      </w:r>
      <w:r>
        <w:rPr>
          <w:rFonts w:cs="Arial"/>
        </w:rPr>
        <w:t xml:space="preserve"> </w:t>
      </w:r>
      <w:r w:rsidRPr="00E05B49">
        <w:rPr>
          <w:rFonts w:cs="Arial"/>
        </w:rPr>
        <w:t xml:space="preserve">but are not limited to, water, sewer, hospital, </w:t>
      </w:r>
      <w:r w:rsidR="00203A41">
        <w:rPr>
          <w:rFonts w:cs="Arial"/>
        </w:rPr>
        <w:t xml:space="preserve">trash </w:t>
      </w:r>
      <w:r w:rsidRPr="00E05B49">
        <w:rPr>
          <w:rFonts w:cs="Arial"/>
        </w:rPr>
        <w:t>and</w:t>
      </w:r>
      <w:r>
        <w:rPr>
          <w:rFonts w:cs="Arial"/>
        </w:rPr>
        <w:t xml:space="preserve"> </w:t>
      </w:r>
      <w:r w:rsidRPr="00E05B49">
        <w:rPr>
          <w:rFonts w:cs="Arial"/>
        </w:rPr>
        <w:t>airport services. See DOR IGR 08-101</w:t>
      </w:r>
    </w:p>
    <w:p w:rsidR="00512CA8" w:rsidRDefault="008E6AC8" w:rsidP="000C77E5">
      <w:pPr>
        <w:autoSpaceDE w:val="0"/>
        <w:autoSpaceDN w:val="0"/>
        <w:adjustRightInd w:val="0"/>
        <w:rPr>
          <w:rFonts w:cs="Arial"/>
        </w:rPr>
      </w:pPr>
      <w:r w:rsidRPr="00115E0D">
        <w:rPr>
          <w:rFonts w:cs="Arial"/>
          <w:b/>
          <w:bCs/>
        </w:rPr>
        <w:t xml:space="preserve">Internal Service Fund </w:t>
      </w:r>
      <w:r w:rsidRPr="00115E0D">
        <w:rPr>
          <w:rFonts w:cs="Arial"/>
        </w:rPr>
        <w:t>– A municipal accounting fund used to accumulate the cost of central services such as data processing, printing, postage, motor pool. Costs or charges to an internal service fund are then allocated to other departments or funds within the government unit.</w:t>
      </w:r>
    </w:p>
    <w:p w:rsidR="0065695A" w:rsidRPr="000C77E5" w:rsidRDefault="0065695A" w:rsidP="000C77E5">
      <w:pPr>
        <w:autoSpaceDE w:val="0"/>
        <w:autoSpaceDN w:val="0"/>
        <w:adjustRightInd w:val="0"/>
      </w:pPr>
    </w:p>
    <w:p w:rsidR="008E6AC8" w:rsidRPr="0065695A" w:rsidRDefault="008E6AC8" w:rsidP="0065695A">
      <w:pPr>
        <w:jc w:val="center"/>
        <w:rPr>
          <w:rFonts w:cs="Arial"/>
          <w:b/>
          <w:color w:val="548DD4" w:themeColor="text2" w:themeTint="99"/>
          <w:u w:val="single"/>
        </w:rPr>
      </w:pPr>
      <w:r w:rsidRPr="0065695A">
        <w:rPr>
          <w:rFonts w:cs="Arial"/>
          <w:b/>
          <w:color w:val="548DD4" w:themeColor="text2" w:themeTint="99"/>
          <w:u w:val="single"/>
        </w:rPr>
        <w:t>FIDUCIARY FUND TYPE</w:t>
      </w:r>
    </w:p>
    <w:p w:rsidR="008E6AC8" w:rsidRPr="0065695A" w:rsidRDefault="008E6AC8" w:rsidP="008E6AC8">
      <w:pPr>
        <w:jc w:val="center"/>
        <w:rPr>
          <w:b/>
          <w:color w:val="548DD4" w:themeColor="text2" w:themeTint="99"/>
          <w:sz w:val="28"/>
          <w:szCs w:val="28"/>
        </w:rPr>
      </w:pPr>
    </w:p>
    <w:p w:rsidR="008E6AC8" w:rsidRDefault="008E6AC8" w:rsidP="008E6AC8">
      <w:pPr>
        <w:autoSpaceDE w:val="0"/>
        <w:autoSpaceDN w:val="0"/>
        <w:adjustRightInd w:val="0"/>
        <w:rPr>
          <w:rFonts w:cs="Arial"/>
        </w:rPr>
      </w:pPr>
      <w:r w:rsidRPr="00115E0D">
        <w:rPr>
          <w:rFonts w:cs="Arial"/>
          <w:b/>
          <w:bCs/>
        </w:rPr>
        <w:t xml:space="preserve">Trust Fund </w:t>
      </w:r>
      <w:r w:rsidRPr="00115E0D">
        <w:rPr>
          <w:rFonts w:cs="Arial"/>
        </w:rPr>
        <w:t>– In general, a fund for money donated</w:t>
      </w:r>
      <w:r>
        <w:rPr>
          <w:rFonts w:cs="Arial"/>
        </w:rPr>
        <w:t xml:space="preserve"> </w:t>
      </w:r>
      <w:r w:rsidRPr="00115E0D">
        <w:rPr>
          <w:rFonts w:cs="Arial"/>
        </w:rPr>
        <w:t>or transferred to a municipality with specific</w:t>
      </w:r>
      <w:r>
        <w:rPr>
          <w:rFonts w:cs="Arial"/>
        </w:rPr>
        <w:t xml:space="preserve"> </w:t>
      </w:r>
      <w:r w:rsidRPr="00115E0D">
        <w:rPr>
          <w:rFonts w:cs="Arial"/>
        </w:rPr>
        <w:t>instructions on its use. As custodian of trust funds,</w:t>
      </w:r>
      <w:r>
        <w:rPr>
          <w:rFonts w:cs="Arial"/>
        </w:rPr>
        <w:t xml:space="preserve"> </w:t>
      </w:r>
      <w:r w:rsidRPr="00115E0D">
        <w:rPr>
          <w:rFonts w:cs="Arial"/>
        </w:rPr>
        <w:t>the treasurer invests and expends such funds as</w:t>
      </w:r>
      <w:r>
        <w:rPr>
          <w:rFonts w:cs="Arial"/>
        </w:rPr>
        <w:t xml:space="preserve"> </w:t>
      </w:r>
      <w:r w:rsidRPr="00115E0D">
        <w:rPr>
          <w:rFonts w:cs="Arial"/>
        </w:rPr>
        <w:t>stipulated by trust agreements, as directed by the</w:t>
      </w:r>
      <w:r>
        <w:rPr>
          <w:rFonts w:cs="Arial"/>
        </w:rPr>
        <w:t xml:space="preserve"> </w:t>
      </w:r>
      <w:r w:rsidRPr="00115E0D">
        <w:rPr>
          <w:rFonts w:cs="Arial"/>
        </w:rPr>
        <w:t>commissioners of trust funds or by town meeting.</w:t>
      </w:r>
      <w:r>
        <w:rPr>
          <w:rFonts w:cs="Arial"/>
        </w:rPr>
        <w:t xml:space="preserve"> </w:t>
      </w:r>
      <w:r w:rsidRPr="00115E0D">
        <w:rPr>
          <w:rFonts w:cs="Arial"/>
        </w:rPr>
        <w:t>Both principal and interest may be used if the trust</w:t>
      </w:r>
      <w:r>
        <w:rPr>
          <w:rFonts w:cs="Arial"/>
        </w:rPr>
        <w:t xml:space="preserve"> </w:t>
      </w:r>
      <w:r w:rsidRPr="00115E0D">
        <w:rPr>
          <w:rFonts w:cs="Arial"/>
        </w:rPr>
        <w:t>is established as an expendable trust. For nonexpendable</w:t>
      </w:r>
      <w:r>
        <w:rPr>
          <w:rFonts w:cs="Arial"/>
        </w:rPr>
        <w:t xml:space="preserve"> </w:t>
      </w:r>
      <w:r w:rsidRPr="00115E0D">
        <w:rPr>
          <w:rFonts w:cs="Arial"/>
        </w:rPr>
        <w:t>trust funds, only interest (not principal)</w:t>
      </w:r>
      <w:r>
        <w:rPr>
          <w:rFonts w:cs="Arial"/>
        </w:rPr>
        <w:t xml:space="preserve"> </w:t>
      </w:r>
      <w:r w:rsidRPr="00115E0D">
        <w:rPr>
          <w:rFonts w:cs="Arial"/>
        </w:rPr>
        <w:t>may be expended as directed.</w:t>
      </w:r>
    </w:p>
    <w:p w:rsidR="008E6AC8" w:rsidRDefault="008E6AC8" w:rsidP="008E6AC8">
      <w:pPr>
        <w:autoSpaceDE w:val="0"/>
        <w:autoSpaceDN w:val="0"/>
        <w:adjustRightInd w:val="0"/>
        <w:rPr>
          <w:rFonts w:cs="Arial"/>
        </w:rPr>
      </w:pPr>
    </w:p>
    <w:p w:rsidR="008E6AC8" w:rsidRPr="00115E0D" w:rsidRDefault="008E6AC8" w:rsidP="008E6AC8">
      <w:pPr>
        <w:autoSpaceDE w:val="0"/>
        <w:autoSpaceDN w:val="0"/>
        <w:adjustRightInd w:val="0"/>
        <w:rPr>
          <w:rFonts w:cs="Arial"/>
        </w:rPr>
      </w:pPr>
      <w:r w:rsidRPr="00115E0D">
        <w:rPr>
          <w:rFonts w:cs="Arial"/>
          <w:b/>
          <w:bCs/>
        </w:rPr>
        <w:t xml:space="preserve">Private-Purpose Trust Funds </w:t>
      </w:r>
      <w:r w:rsidRPr="00115E0D">
        <w:rPr>
          <w:rFonts w:cs="Arial"/>
        </w:rPr>
        <w:t>– A fiduciary trust</w:t>
      </w:r>
      <w:r>
        <w:rPr>
          <w:rFonts w:cs="Arial"/>
        </w:rPr>
        <w:t xml:space="preserve"> </w:t>
      </w:r>
      <w:r w:rsidRPr="00115E0D">
        <w:rPr>
          <w:rFonts w:cs="Arial"/>
        </w:rPr>
        <w:t>fund type used to report all trust arrangements,</w:t>
      </w:r>
      <w:r>
        <w:rPr>
          <w:rFonts w:cs="Arial"/>
        </w:rPr>
        <w:t xml:space="preserve"> </w:t>
      </w:r>
      <w:r w:rsidRPr="00115E0D">
        <w:rPr>
          <w:rFonts w:cs="Arial"/>
        </w:rPr>
        <w:t>other than those properly reported in pension trust</w:t>
      </w:r>
      <w:r>
        <w:rPr>
          <w:rFonts w:cs="Arial"/>
        </w:rPr>
        <w:t xml:space="preserve"> </w:t>
      </w:r>
      <w:r w:rsidRPr="00115E0D">
        <w:rPr>
          <w:rFonts w:cs="Arial"/>
        </w:rPr>
        <w:t>funds or investment trust funds, under which</w:t>
      </w:r>
      <w:r>
        <w:rPr>
          <w:rFonts w:cs="Arial"/>
        </w:rPr>
        <w:t xml:space="preserve"> </w:t>
      </w:r>
      <w:r w:rsidRPr="00115E0D">
        <w:rPr>
          <w:rFonts w:cs="Arial"/>
        </w:rPr>
        <w:t>principal and income benefits individuals, private</w:t>
      </w:r>
      <w:r>
        <w:rPr>
          <w:rFonts w:cs="Arial"/>
        </w:rPr>
        <w:t xml:space="preserve"> </w:t>
      </w:r>
      <w:r w:rsidRPr="00115E0D">
        <w:rPr>
          <w:rFonts w:cs="Arial"/>
        </w:rPr>
        <w:t>organizations, or other governments. An example</w:t>
      </w:r>
      <w:r>
        <w:rPr>
          <w:rFonts w:cs="Arial"/>
        </w:rPr>
        <w:t xml:space="preserve"> </w:t>
      </w:r>
      <w:r w:rsidRPr="00115E0D">
        <w:rPr>
          <w:rFonts w:cs="Arial"/>
        </w:rPr>
        <w:t>is a scholarship fund.</w:t>
      </w:r>
    </w:p>
    <w:p w:rsidR="008E6AC8" w:rsidRDefault="008E6AC8" w:rsidP="008E6AC8">
      <w:pPr>
        <w:rPr>
          <w:sz w:val="28"/>
          <w:szCs w:val="28"/>
        </w:rPr>
      </w:pPr>
    </w:p>
    <w:p w:rsidR="008E6AC8" w:rsidRPr="00115E0D" w:rsidRDefault="008E6AC8" w:rsidP="008E6AC8">
      <w:pPr>
        <w:autoSpaceDE w:val="0"/>
        <w:autoSpaceDN w:val="0"/>
        <w:adjustRightInd w:val="0"/>
        <w:rPr>
          <w:rFonts w:cs="Arial"/>
        </w:rPr>
      </w:pPr>
      <w:r w:rsidRPr="00115E0D">
        <w:rPr>
          <w:rFonts w:cs="Arial"/>
          <w:b/>
          <w:bCs/>
        </w:rPr>
        <w:t xml:space="preserve">Agency Fund </w:t>
      </w:r>
      <w:r w:rsidRPr="00115E0D">
        <w:rPr>
          <w:rFonts w:cs="Arial"/>
        </w:rPr>
        <w:t>– This is one of four types of</w:t>
      </w:r>
      <w:r>
        <w:rPr>
          <w:rFonts w:cs="Arial"/>
        </w:rPr>
        <w:t xml:space="preserve"> </w:t>
      </w:r>
      <w:r w:rsidRPr="00115E0D">
        <w:rPr>
          <w:rFonts w:cs="Arial"/>
        </w:rPr>
        <w:t>fiduciary funds. It is used to report resources in a</w:t>
      </w:r>
      <w:r>
        <w:rPr>
          <w:rFonts w:cs="Arial"/>
        </w:rPr>
        <w:t xml:space="preserve"> </w:t>
      </w:r>
      <w:r w:rsidRPr="00115E0D">
        <w:rPr>
          <w:rFonts w:cs="Arial"/>
        </w:rPr>
        <w:t>purely custodial capacity by a governmental unit.</w:t>
      </w:r>
      <w:r>
        <w:rPr>
          <w:rFonts w:cs="Arial"/>
        </w:rPr>
        <w:t xml:space="preserve"> </w:t>
      </w:r>
      <w:r w:rsidRPr="00115E0D">
        <w:rPr>
          <w:rFonts w:cs="Arial"/>
        </w:rPr>
        <w:t>Agency funds generally involve only the receipt,</w:t>
      </w:r>
      <w:r>
        <w:rPr>
          <w:rFonts w:cs="Arial"/>
        </w:rPr>
        <w:t xml:space="preserve"> </w:t>
      </w:r>
      <w:r w:rsidRPr="00115E0D">
        <w:rPr>
          <w:rFonts w:cs="Arial"/>
        </w:rPr>
        <w:t>temporary investment, and periodic transfer of</w:t>
      </w:r>
      <w:r>
        <w:rPr>
          <w:rFonts w:cs="Arial"/>
        </w:rPr>
        <w:t xml:space="preserve"> </w:t>
      </w:r>
      <w:r w:rsidRPr="00115E0D">
        <w:rPr>
          <w:rFonts w:cs="Arial"/>
        </w:rPr>
        <w:t>money to fulfill legal obligations to individuals,</w:t>
      </w:r>
      <w:r>
        <w:rPr>
          <w:rFonts w:cs="Arial"/>
        </w:rPr>
        <w:t xml:space="preserve"> </w:t>
      </w:r>
      <w:r w:rsidRPr="00115E0D">
        <w:rPr>
          <w:rFonts w:cs="Arial"/>
        </w:rPr>
        <w:t>private organizations, or other governments. For</w:t>
      </w:r>
      <w:r>
        <w:rPr>
          <w:rFonts w:cs="Arial"/>
        </w:rPr>
        <w:t xml:space="preserve"> </w:t>
      </w:r>
      <w:r w:rsidRPr="00115E0D">
        <w:rPr>
          <w:rFonts w:cs="Arial"/>
        </w:rPr>
        <w:t>example, certain employee payroll withholdings</w:t>
      </w:r>
      <w:r>
        <w:rPr>
          <w:rFonts w:cs="Arial"/>
        </w:rPr>
        <w:t xml:space="preserve"> </w:t>
      </w:r>
      <w:r w:rsidRPr="00115E0D">
        <w:rPr>
          <w:rFonts w:cs="Arial"/>
        </w:rPr>
        <w:t>typically accumulate in an agency fund until due</w:t>
      </w:r>
    </w:p>
    <w:p w:rsidR="008E6AC8" w:rsidRDefault="008E6AC8" w:rsidP="008E6AC8">
      <w:pPr>
        <w:autoSpaceDE w:val="0"/>
        <w:autoSpaceDN w:val="0"/>
        <w:adjustRightInd w:val="0"/>
        <w:rPr>
          <w:rFonts w:cs="Arial"/>
        </w:rPr>
      </w:pPr>
      <w:r w:rsidRPr="00115E0D">
        <w:rPr>
          <w:rFonts w:cs="Arial"/>
        </w:rPr>
        <w:t>and forwarded to the federal government, health</w:t>
      </w:r>
      <w:r>
        <w:rPr>
          <w:rFonts w:cs="Arial"/>
        </w:rPr>
        <w:t xml:space="preserve"> </w:t>
      </w:r>
      <w:r w:rsidRPr="00115E0D">
        <w:rPr>
          <w:rFonts w:cs="Arial"/>
        </w:rPr>
        <w:t>care provider, and so forth.</w:t>
      </w: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65695A" w:rsidRDefault="0065695A" w:rsidP="008E6AC8">
      <w:pPr>
        <w:autoSpaceDE w:val="0"/>
        <w:autoSpaceDN w:val="0"/>
        <w:adjustRightInd w:val="0"/>
        <w:rPr>
          <w:rFonts w:cs="Arial"/>
        </w:rPr>
      </w:pPr>
    </w:p>
    <w:p w:rsidR="008E6AC8" w:rsidRPr="0065695A" w:rsidRDefault="008E6AC8" w:rsidP="008E6AC8">
      <w:pPr>
        <w:pBdr>
          <w:bottom w:val="single" w:sz="12" w:space="1" w:color="auto"/>
        </w:pBdr>
        <w:jc w:val="center"/>
        <w:rPr>
          <w:rFonts w:cs="Arial"/>
          <w:b/>
          <w:i/>
          <w:color w:val="548DD4" w:themeColor="text2" w:themeTint="99"/>
        </w:rPr>
      </w:pPr>
      <w:r w:rsidRPr="0065695A">
        <w:rPr>
          <w:rFonts w:cs="Arial"/>
          <w:b/>
          <w:i/>
          <w:color w:val="548DD4" w:themeColor="text2" w:themeTint="99"/>
        </w:rPr>
        <w:t>The following information is to define specific line items in the balance sheets to help the user have a clearer understanding of the information presented.</w:t>
      </w:r>
    </w:p>
    <w:p w:rsidR="0065695A" w:rsidRDefault="0065695A" w:rsidP="008E6AC8">
      <w:pPr>
        <w:autoSpaceDE w:val="0"/>
        <w:autoSpaceDN w:val="0"/>
        <w:adjustRightInd w:val="0"/>
        <w:rPr>
          <w:i/>
          <w:color w:val="548DD4" w:themeColor="text2" w:themeTint="99"/>
          <w:sz w:val="28"/>
          <w:szCs w:val="28"/>
        </w:rPr>
      </w:pPr>
    </w:p>
    <w:p w:rsidR="004A0984" w:rsidRPr="0065695A" w:rsidRDefault="004A0984" w:rsidP="008E6AC8">
      <w:pPr>
        <w:autoSpaceDE w:val="0"/>
        <w:autoSpaceDN w:val="0"/>
        <w:adjustRightInd w:val="0"/>
        <w:rPr>
          <w:i/>
          <w:color w:val="548DD4" w:themeColor="text2" w:themeTint="99"/>
          <w:sz w:val="28"/>
          <w:szCs w:val="28"/>
        </w:rPr>
      </w:pPr>
    </w:p>
    <w:p w:rsidR="008E6AC8" w:rsidRDefault="008E6AC8" w:rsidP="008E6AC8">
      <w:pPr>
        <w:autoSpaceDE w:val="0"/>
        <w:autoSpaceDN w:val="0"/>
        <w:adjustRightInd w:val="0"/>
        <w:rPr>
          <w:rFonts w:cs="Arial"/>
        </w:rPr>
      </w:pPr>
      <w:r w:rsidRPr="00493DD2">
        <w:rPr>
          <w:rFonts w:cs="Arial"/>
          <w:b/>
          <w:bCs/>
        </w:rPr>
        <w:t xml:space="preserve">Encumbrance </w:t>
      </w:r>
      <w:r w:rsidRPr="00493DD2">
        <w:rPr>
          <w:rFonts w:cs="Arial"/>
        </w:rPr>
        <w:t>– A reservation of funds to cover</w:t>
      </w:r>
      <w:r>
        <w:rPr>
          <w:rFonts w:cs="Arial"/>
        </w:rPr>
        <w:t xml:space="preserve"> </w:t>
      </w:r>
      <w:r w:rsidRPr="00493DD2">
        <w:rPr>
          <w:rFonts w:cs="Arial"/>
        </w:rPr>
        <w:t>obligations arising from purchase orders, contracts,</w:t>
      </w:r>
      <w:r>
        <w:rPr>
          <w:rFonts w:cs="Arial"/>
        </w:rPr>
        <w:t xml:space="preserve"> </w:t>
      </w:r>
      <w:r w:rsidRPr="00493DD2">
        <w:rPr>
          <w:rFonts w:cs="Arial"/>
        </w:rPr>
        <w:t>or salary commitments that is chargeable to, but not</w:t>
      </w:r>
      <w:r>
        <w:rPr>
          <w:rFonts w:cs="Arial"/>
        </w:rPr>
        <w:t xml:space="preserve"> </w:t>
      </w:r>
      <w:r w:rsidRPr="00493DD2">
        <w:rPr>
          <w:rFonts w:cs="Arial"/>
        </w:rPr>
        <w:t xml:space="preserve">yet paid from, </w:t>
      </w:r>
    </w:p>
    <w:p w:rsidR="008E6AC8" w:rsidRPr="00493DD2" w:rsidRDefault="008E6AC8" w:rsidP="008E6AC8">
      <w:pPr>
        <w:autoSpaceDE w:val="0"/>
        <w:autoSpaceDN w:val="0"/>
        <w:adjustRightInd w:val="0"/>
        <w:rPr>
          <w:rFonts w:cs="Arial"/>
        </w:rPr>
      </w:pPr>
      <w:r w:rsidRPr="00493DD2">
        <w:rPr>
          <w:rFonts w:cs="Arial"/>
        </w:rPr>
        <w:t>a specific appropriation account.</w:t>
      </w:r>
    </w:p>
    <w:p w:rsidR="008E6AC8" w:rsidRPr="00493DD2" w:rsidRDefault="008E6AC8" w:rsidP="008E6AC8">
      <w:pPr>
        <w:rPr>
          <w:rFonts w:cs="Arial"/>
        </w:rPr>
      </w:pPr>
    </w:p>
    <w:p w:rsidR="008E6AC8" w:rsidRPr="00937B73" w:rsidRDefault="008E6AC8" w:rsidP="008E6AC8">
      <w:pPr>
        <w:rPr>
          <w:rFonts w:cs="Arial"/>
        </w:rPr>
      </w:pPr>
      <w:r w:rsidRPr="00937B73">
        <w:rPr>
          <w:rFonts w:cs="Arial"/>
          <w:b/>
        </w:rPr>
        <w:t>Massachusetts General Laws</w:t>
      </w:r>
      <w:r>
        <w:rPr>
          <w:rFonts w:cs="Arial"/>
          <w:b/>
        </w:rPr>
        <w:t xml:space="preserve"> Chapter 656 of the Acts of 1989 - </w:t>
      </w:r>
      <w:r w:rsidRPr="00937B73">
        <w:rPr>
          <w:rFonts w:cs="Arial"/>
        </w:rPr>
        <w:t xml:space="preserve">This </w:t>
      </w:r>
      <w:r w:rsidR="00B45E3E" w:rsidRPr="00937B73">
        <w:rPr>
          <w:rFonts w:cs="Arial"/>
        </w:rPr>
        <w:t>statute</w:t>
      </w:r>
      <w:r w:rsidRPr="00937B73">
        <w:rPr>
          <w:rFonts w:cs="Arial"/>
        </w:rPr>
        <w:t xml:space="preserve"> requires the City of Springfield to </w:t>
      </w:r>
      <w:r>
        <w:rPr>
          <w:rFonts w:cs="Arial"/>
        </w:rPr>
        <w:t xml:space="preserve">account for </w:t>
      </w:r>
      <w:r w:rsidRPr="00937B73">
        <w:rPr>
          <w:rFonts w:cs="Arial"/>
        </w:rPr>
        <w:t>one percent of the prior year’s gross amount to be raised on the tax re-cap as a reservation of fund balance in the general fund.</w:t>
      </w:r>
    </w:p>
    <w:p w:rsidR="008E6AC8" w:rsidRPr="00493DD2" w:rsidRDefault="008E6AC8" w:rsidP="008E6AC8">
      <w:pPr>
        <w:rPr>
          <w:rFonts w:cs="Arial"/>
        </w:rPr>
      </w:pPr>
    </w:p>
    <w:p w:rsidR="008E6AC8" w:rsidRPr="00493DD2" w:rsidRDefault="008E6AC8" w:rsidP="008E6AC8">
      <w:pPr>
        <w:autoSpaceDE w:val="0"/>
        <w:autoSpaceDN w:val="0"/>
        <w:adjustRightInd w:val="0"/>
        <w:rPr>
          <w:rFonts w:cs="Arial"/>
        </w:rPr>
      </w:pPr>
      <w:r w:rsidRPr="00493DD2">
        <w:rPr>
          <w:rFonts w:cs="Arial"/>
          <w:b/>
          <w:bCs/>
        </w:rPr>
        <w:t xml:space="preserve">Net School Spending </w:t>
      </w:r>
      <w:r w:rsidRPr="00493DD2">
        <w:rPr>
          <w:rFonts w:cs="Arial"/>
        </w:rPr>
        <w:t>(NSS) – School budget and</w:t>
      </w:r>
      <w:r>
        <w:rPr>
          <w:rFonts w:cs="Arial"/>
        </w:rPr>
        <w:t xml:space="preserve"> </w:t>
      </w:r>
      <w:r w:rsidRPr="00493DD2">
        <w:rPr>
          <w:rFonts w:cs="Arial"/>
        </w:rPr>
        <w:t>municipal budget amounts attributable to education,</w:t>
      </w:r>
      <w:r>
        <w:rPr>
          <w:rFonts w:cs="Arial"/>
        </w:rPr>
        <w:t xml:space="preserve"> </w:t>
      </w:r>
      <w:r w:rsidRPr="00493DD2">
        <w:rPr>
          <w:rFonts w:cs="Arial"/>
        </w:rPr>
        <w:t>excluding long-term debt service,</w:t>
      </w:r>
      <w:r>
        <w:rPr>
          <w:rFonts w:cs="Arial"/>
        </w:rPr>
        <w:t xml:space="preserve"> </w:t>
      </w:r>
      <w:r w:rsidRPr="00493DD2">
        <w:rPr>
          <w:rFonts w:cs="Arial"/>
        </w:rPr>
        <w:t>student</w:t>
      </w:r>
      <w:r>
        <w:rPr>
          <w:rFonts w:cs="Arial"/>
        </w:rPr>
        <w:t xml:space="preserve"> </w:t>
      </w:r>
      <w:r w:rsidRPr="00493DD2">
        <w:rPr>
          <w:rFonts w:cs="Arial"/>
        </w:rPr>
        <w:t>transportation, school lunches and certain other</w:t>
      </w:r>
      <w:r>
        <w:rPr>
          <w:rFonts w:cs="Arial"/>
        </w:rPr>
        <w:t xml:space="preserve"> </w:t>
      </w:r>
      <w:r w:rsidRPr="00493DD2">
        <w:rPr>
          <w:rFonts w:cs="Arial"/>
        </w:rPr>
        <w:t>specified school expenditures. A community’s NSS</w:t>
      </w:r>
      <w:r>
        <w:rPr>
          <w:rFonts w:cs="Arial"/>
        </w:rPr>
        <w:t xml:space="preserve"> </w:t>
      </w:r>
      <w:r w:rsidRPr="00493DD2">
        <w:rPr>
          <w:rFonts w:cs="Arial"/>
        </w:rPr>
        <w:t>funding must equal or exceed the NSS</w:t>
      </w:r>
      <w:r>
        <w:rPr>
          <w:rFonts w:cs="Arial"/>
        </w:rPr>
        <w:t xml:space="preserve"> </w:t>
      </w:r>
      <w:r w:rsidRPr="00493DD2">
        <w:rPr>
          <w:rFonts w:cs="Arial"/>
        </w:rPr>
        <w:t>Requirement established annually by the</w:t>
      </w:r>
      <w:r>
        <w:rPr>
          <w:rFonts w:cs="Arial"/>
        </w:rPr>
        <w:t xml:space="preserve"> </w:t>
      </w:r>
      <w:r w:rsidRPr="00493DD2">
        <w:rPr>
          <w:rFonts w:cs="Arial"/>
        </w:rPr>
        <w:t>Department of E</w:t>
      </w:r>
      <w:r>
        <w:rPr>
          <w:rFonts w:cs="Arial"/>
        </w:rPr>
        <w:t>lementary and Secondary Education</w:t>
      </w:r>
      <w:r w:rsidRPr="00493DD2">
        <w:rPr>
          <w:rFonts w:cs="Arial"/>
        </w:rPr>
        <w:t xml:space="preserve"> (D</w:t>
      </w:r>
      <w:r>
        <w:rPr>
          <w:rFonts w:cs="Arial"/>
        </w:rPr>
        <w:t>ES</w:t>
      </w:r>
      <w:r w:rsidRPr="00493DD2">
        <w:rPr>
          <w:rFonts w:cs="Arial"/>
        </w:rPr>
        <w:t>E). (See Education</w:t>
      </w:r>
      <w:r>
        <w:rPr>
          <w:rFonts w:cs="Arial"/>
        </w:rPr>
        <w:t xml:space="preserve"> </w:t>
      </w:r>
      <w:r w:rsidRPr="00493DD2">
        <w:rPr>
          <w:rFonts w:cs="Arial"/>
        </w:rPr>
        <w:t>Reform Act of 1993)</w:t>
      </w:r>
    </w:p>
    <w:p w:rsidR="008E6AC8" w:rsidRPr="00493DD2" w:rsidRDefault="008E6AC8" w:rsidP="008E6AC8"/>
    <w:p w:rsidR="008E6AC8" w:rsidRDefault="008E6AC8" w:rsidP="008E6AC8">
      <w:pPr>
        <w:autoSpaceDE w:val="0"/>
        <w:autoSpaceDN w:val="0"/>
        <w:adjustRightInd w:val="0"/>
        <w:rPr>
          <w:rFonts w:cs="Arial"/>
        </w:rPr>
      </w:pPr>
      <w:r w:rsidRPr="00493DD2">
        <w:rPr>
          <w:rFonts w:cs="Arial"/>
          <w:b/>
          <w:bCs/>
        </w:rPr>
        <w:t xml:space="preserve">Undesignated Fund Balance </w:t>
      </w:r>
      <w:r w:rsidRPr="00493DD2">
        <w:rPr>
          <w:rFonts w:cs="Arial"/>
        </w:rPr>
        <w:t>– Monies in the</w:t>
      </w:r>
      <w:r>
        <w:rPr>
          <w:rFonts w:cs="Arial"/>
        </w:rPr>
        <w:t xml:space="preserve"> </w:t>
      </w:r>
      <w:r w:rsidRPr="00493DD2">
        <w:rPr>
          <w:rFonts w:cs="Arial"/>
        </w:rPr>
        <w:t>various government funds as of June 30 that are</w:t>
      </w:r>
      <w:r>
        <w:rPr>
          <w:rFonts w:cs="Arial"/>
        </w:rPr>
        <w:t xml:space="preserve"> </w:t>
      </w:r>
      <w:r w:rsidRPr="00493DD2">
        <w:rPr>
          <w:rFonts w:cs="Arial"/>
        </w:rPr>
        <w:t>neither encumbered nor reserved, and are therefore</w:t>
      </w:r>
      <w:r>
        <w:rPr>
          <w:rFonts w:cs="Arial"/>
        </w:rPr>
        <w:t xml:space="preserve"> </w:t>
      </w:r>
      <w:r w:rsidRPr="00493DD2">
        <w:rPr>
          <w:rFonts w:cs="Arial"/>
        </w:rPr>
        <w:t>available for expenditure once certified as part of</w:t>
      </w:r>
      <w:r>
        <w:rPr>
          <w:rFonts w:cs="Arial"/>
        </w:rPr>
        <w:t xml:space="preserve"> </w:t>
      </w:r>
      <w:r w:rsidRPr="00493DD2">
        <w:rPr>
          <w:rFonts w:cs="Arial"/>
        </w:rPr>
        <w:t>free cash. (See Designated Fund Balance</w:t>
      </w:r>
      <w:r>
        <w:rPr>
          <w:rFonts w:cs="Arial"/>
        </w:rPr>
        <w:t>)</w:t>
      </w:r>
    </w:p>
    <w:p w:rsidR="008E6AC8" w:rsidRPr="00493DD2" w:rsidRDefault="008E6AC8" w:rsidP="008E6AC8">
      <w:pPr>
        <w:autoSpaceDE w:val="0"/>
        <w:autoSpaceDN w:val="0"/>
        <w:adjustRightInd w:val="0"/>
        <w:rPr>
          <w:rFonts w:cs="Arial"/>
        </w:rPr>
      </w:pPr>
    </w:p>
    <w:p w:rsidR="009D5E33" w:rsidRDefault="008E6AC8" w:rsidP="0001220A">
      <w:pPr>
        <w:autoSpaceDE w:val="0"/>
        <w:autoSpaceDN w:val="0"/>
        <w:adjustRightInd w:val="0"/>
        <w:rPr>
          <w:rFonts w:cs="Arial"/>
        </w:rPr>
      </w:pPr>
      <w:r w:rsidRPr="00493DD2">
        <w:rPr>
          <w:rFonts w:cs="Arial"/>
          <w:b/>
          <w:bCs/>
        </w:rPr>
        <w:t xml:space="preserve">Unreserved Fund Balance </w:t>
      </w:r>
      <w:r w:rsidRPr="00493DD2">
        <w:rPr>
          <w:rFonts w:cs="Arial"/>
        </w:rPr>
        <w:t>(Surplus Revenue</w:t>
      </w:r>
      <w:r>
        <w:rPr>
          <w:rFonts w:cs="Arial"/>
        </w:rPr>
        <w:t xml:space="preserve"> </w:t>
      </w:r>
      <w:r w:rsidRPr="00493DD2">
        <w:rPr>
          <w:rFonts w:cs="Arial"/>
        </w:rPr>
        <w:t>Account) – The amount by which cash, accounts</w:t>
      </w:r>
      <w:r>
        <w:rPr>
          <w:rFonts w:cs="Arial"/>
        </w:rPr>
        <w:t xml:space="preserve"> </w:t>
      </w:r>
      <w:r w:rsidRPr="00493DD2">
        <w:rPr>
          <w:rFonts w:cs="Arial"/>
        </w:rPr>
        <w:t>receivable, and other assets exceed liabilities and</w:t>
      </w:r>
      <w:r>
        <w:rPr>
          <w:rFonts w:cs="Arial"/>
        </w:rPr>
        <w:t xml:space="preserve"> </w:t>
      </w:r>
      <w:r w:rsidRPr="00493DD2">
        <w:rPr>
          <w:rFonts w:cs="Arial"/>
        </w:rPr>
        <w:t>restricted reserves. It is akin to a "stockholders’</w:t>
      </w:r>
      <w:r>
        <w:rPr>
          <w:rFonts w:cs="Arial"/>
        </w:rPr>
        <w:t xml:space="preserve"> </w:t>
      </w:r>
      <w:r w:rsidRPr="00493DD2">
        <w:rPr>
          <w:rFonts w:cs="Arial"/>
        </w:rPr>
        <w:t>equity" account on a corporate balance sheet. It is</w:t>
      </w:r>
      <w:r>
        <w:rPr>
          <w:rFonts w:cs="Arial"/>
        </w:rPr>
        <w:t xml:space="preserve"> </w:t>
      </w:r>
      <w:r w:rsidRPr="00493DD2">
        <w:rPr>
          <w:rFonts w:cs="Arial"/>
        </w:rPr>
        <w:t>not, however, available for appropriation in full</w:t>
      </w:r>
      <w:r>
        <w:rPr>
          <w:rFonts w:cs="Arial"/>
        </w:rPr>
        <w:t xml:space="preserve"> </w:t>
      </w:r>
      <w:r w:rsidRPr="00493DD2">
        <w:rPr>
          <w:rFonts w:cs="Arial"/>
        </w:rPr>
        <w:t>because a portion of the assets listed as "accounts</w:t>
      </w:r>
      <w:r>
        <w:rPr>
          <w:rFonts w:cs="Arial"/>
        </w:rPr>
        <w:t xml:space="preserve"> </w:t>
      </w:r>
      <w:r w:rsidRPr="00493DD2">
        <w:rPr>
          <w:rFonts w:cs="Arial"/>
        </w:rPr>
        <w:t>receivable" may be taxes receivable and</w:t>
      </w:r>
      <w:r>
        <w:rPr>
          <w:rFonts w:cs="Arial"/>
        </w:rPr>
        <w:t xml:space="preserve"> </w:t>
      </w:r>
      <w:r w:rsidRPr="00493DD2">
        <w:rPr>
          <w:rFonts w:cs="Arial"/>
        </w:rPr>
        <w:t>uncollected. (See Free Cash)</w:t>
      </w: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65695A" w:rsidRDefault="0065695A" w:rsidP="0001220A">
      <w:pPr>
        <w:autoSpaceDE w:val="0"/>
        <w:autoSpaceDN w:val="0"/>
        <w:adjustRightInd w:val="0"/>
        <w:rPr>
          <w:rFonts w:cs="Arial"/>
        </w:rPr>
      </w:pPr>
    </w:p>
    <w:p w:rsidR="000C77E5" w:rsidRPr="00AF562A" w:rsidRDefault="00413173" w:rsidP="0001220A">
      <w:pPr>
        <w:autoSpaceDE w:val="0"/>
        <w:autoSpaceDN w:val="0"/>
        <w:adjustRightInd w:val="0"/>
      </w:pPr>
      <w:r>
        <w:t xml:space="preserve">  </w:t>
      </w:r>
      <w:r w:rsidR="000C77E5">
        <w:rPr>
          <w:b/>
        </w:rPr>
        <w:t>Source: DOR UMAS manu</w:t>
      </w:r>
      <w:r w:rsidR="00AF562A">
        <w:rPr>
          <w:b/>
        </w:rPr>
        <w:t>al</w:t>
      </w:r>
    </w:p>
    <w:p w:rsidR="005A45D9" w:rsidRDefault="00CD034D" w:rsidP="009076E6">
      <w:pPr>
        <w:autoSpaceDE w:val="0"/>
        <w:autoSpaceDN w:val="0"/>
        <w:adjustRightInd w:val="0"/>
        <w:jc w:val="both"/>
        <w:rPr>
          <w:noProof/>
        </w:rPr>
      </w:pPr>
      <w:r>
        <w:rPr>
          <w:noProof/>
        </w:rPr>
        <w:drawing>
          <wp:inline distT="0" distB="0" distL="0" distR="0">
            <wp:extent cx="6848475" cy="7372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7372350"/>
                    </a:xfrm>
                    <a:prstGeom prst="rect">
                      <a:avLst/>
                    </a:prstGeom>
                    <a:noFill/>
                    <a:ln>
                      <a:noFill/>
                    </a:ln>
                  </pic:spPr>
                </pic:pic>
              </a:graphicData>
            </a:graphic>
          </wp:inline>
        </w:drawing>
      </w:r>
    </w:p>
    <w:p w:rsidR="009076E6" w:rsidRDefault="00DD0F17" w:rsidP="009076E6">
      <w:pPr>
        <w:autoSpaceDE w:val="0"/>
        <w:autoSpaceDN w:val="0"/>
        <w:adjustRightInd w:val="0"/>
        <w:jc w:val="both"/>
        <w:rPr>
          <w:noProof/>
        </w:rPr>
      </w:pPr>
      <w:r>
        <w:rPr>
          <w:noProof/>
        </w:rPr>
        <w:drawing>
          <wp:inline distT="0" distB="0" distL="0" distR="0">
            <wp:extent cx="6848475" cy="3571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3571875"/>
                    </a:xfrm>
                    <a:prstGeom prst="rect">
                      <a:avLst/>
                    </a:prstGeom>
                    <a:noFill/>
                    <a:ln>
                      <a:noFill/>
                    </a:ln>
                  </pic:spPr>
                </pic:pic>
              </a:graphicData>
            </a:graphic>
          </wp:inline>
        </w:drawing>
      </w: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pStyle w:val="Subtitle"/>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71682F" w:rsidP="009076E6">
      <w:pPr>
        <w:autoSpaceDE w:val="0"/>
        <w:autoSpaceDN w:val="0"/>
        <w:adjustRightInd w:val="0"/>
        <w:jc w:val="both"/>
        <w:rPr>
          <w:noProof/>
        </w:rPr>
      </w:pPr>
      <w:r>
        <w:rPr>
          <w:noProof/>
        </w:rPr>
        <w:drawing>
          <wp:inline distT="0" distB="0" distL="0" distR="0">
            <wp:extent cx="6858000" cy="7067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7067550"/>
                    </a:xfrm>
                    <a:prstGeom prst="rect">
                      <a:avLst/>
                    </a:prstGeom>
                    <a:noFill/>
                    <a:ln>
                      <a:noFill/>
                    </a:ln>
                  </pic:spPr>
                </pic:pic>
              </a:graphicData>
            </a:graphic>
          </wp:inline>
        </w:drawing>
      </w: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71682F" w:rsidP="009076E6">
      <w:pPr>
        <w:autoSpaceDE w:val="0"/>
        <w:autoSpaceDN w:val="0"/>
        <w:adjustRightInd w:val="0"/>
        <w:jc w:val="both"/>
        <w:rPr>
          <w:noProof/>
        </w:rPr>
      </w:pPr>
      <w:r>
        <w:rPr>
          <w:noProof/>
        </w:rPr>
        <w:drawing>
          <wp:inline distT="0" distB="0" distL="0" distR="0" wp14:anchorId="385E9BA6" wp14:editId="2085FFC8">
            <wp:extent cx="6858000" cy="3562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562350"/>
                    </a:xfrm>
                    <a:prstGeom prst="rect">
                      <a:avLst/>
                    </a:prstGeom>
                    <a:noFill/>
                    <a:ln>
                      <a:noFill/>
                    </a:ln>
                  </pic:spPr>
                </pic:pic>
              </a:graphicData>
            </a:graphic>
          </wp:inline>
        </w:drawing>
      </w: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9076E6" w:rsidRDefault="009076E6" w:rsidP="009076E6">
      <w:pPr>
        <w:autoSpaceDE w:val="0"/>
        <w:autoSpaceDN w:val="0"/>
        <w:adjustRightInd w:val="0"/>
        <w:jc w:val="both"/>
        <w:rPr>
          <w:noProof/>
        </w:rPr>
      </w:pPr>
    </w:p>
    <w:p w:rsidR="00CD034D" w:rsidRDefault="00CD034D" w:rsidP="009076E6">
      <w:pPr>
        <w:autoSpaceDE w:val="0"/>
        <w:autoSpaceDN w:val="0"/>
        <w:adjustRightInd w:val="0"/>
        <w:jc w:val="both"/>
        <w:rPr>
          <w:noProof/>
        </w:rPr>
      </w:pPr>
    </w:p>
    <w:p w:rsidR="00CD034D" w:rsidRDefault="00CD034D" w:rsidP="009076E6">
      <w:pPr>
        <w:autoSpaceDE w:val="0"/>
        <w:autoSpaceDN w:val="0"/>
        <w:adjustRightInd w:val="0"/>
        <w:jc w:val="both"/>
        <w:rPr>
          <w:noProof/>
        </w:rPr>
      </w:pPr>
    </w:p>
    <w:p w:rsidR="00CD034D" w:rsidRDefault="00CD034D" w:rsidP="009076E6">
      <w:pPr>
        <w:autoSpaceDE w:val="0"/>
        <w:autoSpaceDN w:val="0"/>
        <w:adjustRightInd w:val="0"/>
        <w:jc w:val="both"/>
        <w:rPr>
          <w:noProof/>
        </w:rPr>
      </w:pPr>
    </w:p>
    <w:p w:rsidR="00CD034D" w:rsidRDefault="00CD034D" w:rsidP="009076E6">
      <w:pPr>
        <w:autoSpaceDE w:val="0"/>
        <w:autoSpaceDN w:val="0"/>
        <w:adjustRightInd w:val="0"/>
        <w:jc w:val="both"/>
        <w:rPr>
          <w:noProof/>
        </w:rPr>
      </w:pPr>
    </w:p>
    <w:p w:rsidR="00CD034D" w:rsidRDefault="00CD034D" w:rsidP="009076E6">
      <w:pPr>
        <w:autoSpaceDE w:val="0"/>
        <w:autoSpaceDN w:val="0"/>
        <w:adjustRightInd w:val="0"/>
        <w:jc w:val="both"/>
        <w:rPr>
          <w:noProof/>
        </w:rPr>
      </w:pPr>
    </w:p>
    <w:p w:rsidR="009F26DF" w:rsidRDefault="009F26DF" w:rsidP="003C06B3">
      <w:pPr>
        <w:autoSpaceDE w:val="0"/>
        <w:autoSpaceDN w:val="0"/>
        <w:adjustRightInd w:val="0"/>
        <w:jc w:val="both"/>
        <w:rPr>
          <w:noProof/>
        </w:rPr>
      </w:pPr>
    </w:p>
    <w:p w:rsidR="0071682F" w:rsidRDefault="0071682F" w:rsidP="00B45458">
      <w:pPr>
        <w:autoSpaceDE w:val="0"/>
        <w:autoSpaceDN w:val="0"/>
        <w:adjustRightInd w:val="0"/>
        <w:jc w:val="center"/>
        <w:rPr>
          <w:rFonts w:cs="Arial"/>
          <w:b/>
          <w:color w:val="000000" w:themeColor="text1"/>
          <w:u w:val="single"/>
        </w:rPr>
      </w:pPr>
    </w:p>
    <w:p w:rsidR="0071682F" w:rsidRDefault="0071682F" w:rsidP="00B45458">
      <w:pPr>
        <w:autoSpaceDE w:val="0"/>
        <w:autoSpaceDN w:val="0"/>
        <w:adjustRightInd w:val="0"/>
        <w:jc w:val="center"/>
        <w:rPr>
          <w:rFonts w:cs="Arial"/>
          <w:b/>
          <w:color w:val="000000" w:themeColor="text1"/>
          <w:u w:val="single"/>
        </w:rPr>
      </w:pPr>
    </w:p>
    <w:p w:rsidR="0071682F" w:rsidRDefault="0071682F" w:rsidP="00B45458">
      <w:pPr>
        <w:autoSpaceDE w:val="0"/>
        <w:autoSpaceDN w:val="0"/>
        <w:adjustRightInd w:val="0"/>
        <w:jc w:val="center"/>
        <w:rPr>
          <w:rFonts w:cs="Arial"/>
          <w:b/>
          <w:color w:val="000000" w:themeColor="text1"/>
          <w:u w:val="single"/>
        </w:rPr>
      </w:pPr>
    </w:p>
    <w:p w:rsidR="0071682F" w:rsidRDefault="0071682F" w:rsidP="00B45458">
      <w:pPr>
        <w:autoSpaceDE w:val="0"/>
        <w:autoSpaceDN w:val="0"/>
        <w:adjustRightInd w:val="0"/>
        <w:jc w:val="center"/>
        <w:rPr>
          <w:rFonts w:cs="Arial"/>
          <w:b/>
          <w:color w:val="000000" w:themeColor="text1"/>
          <w:u w:val="single"/>
        </w:rPr>
      </w:pPr>
    </w:p>
    <w:p w:rsidR="0071682F" w:rsidRDefault="0071682F" w:rsidP="0071682F">
      <w:pPr>
        <w:autoSpaceDE w:val="0"/>
        <w:autoSpaceDN w:val="0"/>
        <w:adjustRightInd w:val="0"/>
        <w:rPr>
          <w:rFonts w:cs="Arial"/>
          <w:b/>
          <w:color w:val="000000" w:themeColor="text1"/>
          <w:u w:val="single"/>
        </w:rPr>
      </w:pPr>
    </w:p>
    <w:p w:rsidR="007D09D1" w:rsidRPr="004A0984" w:rsidRDefault="007D09D1" w:rsidP="0071682F">
      <w:pPr>
        <w:autoSpaceDE w:val="0"/>
        <w:autoSpaceDN w:val="0"/>
        <w:adjustRightInd w:val="0"/>
        <w:jc w:val="center"/>
        <w:rPr>
          <w:noProof/>
          <w:color w:val="000000" w:themeColor="text1"/>
          <w:u w:val="single"/>
        </w:rPr>
      </w:pPr>
      <w:r w:rsidRPr="004A0984">
        <w:rPr>
          <w:rFonts w:cs="Arial"/>
          <w:b/>
          <w:color w:val="000000" w:themeColor="text1"/>
          <w:u w:val="single"/>
        </w:rPr>
        <w:t>Special Revenue Funds</w:t>
      </w:r>
    </w:p>
    <w:p w:rsidR="007D09D1" w:rsidRPr="004A0984" w:rsidRDefault="007D09D1" w:rsidP="0071682F">
      <w:pPr>
        <w:jc w:val="center"/>
        <w:rPr>
          <w:rFonts w:cs="Arial"/>
          <w:b/>
          <w:color w:val="000000" w:themeColor="text1"/>
        </w:rPr>
      </w:pPr>
    </w:p>
    <w:p w:rsidR="00B35E22" w:rsidRPr="00B35E22" w:rsidRDefault="00B35E22" w:rsidP="005616BA">
      <w:pPr>
        <w:pBdr>
          <w:bottom w:val="single" w:sz="12" w:space="1" w:color="auto"/>
        </w:pBdr>
        <w:autoSpaceDE w:val="0"/>
        <w:autoSpaceDN w:val="0"/>
        <w:adjustRightInd w:val="0"/>
        <w:jc w:val="center"/>
        <w:rPr>
          <w:rFonts w:eastAsiaTheme="minorHAnsi" w:cs="Arial"/>
          <w:i/>
          <w:sz w:val="20"/>
          <w:szCs w:val="20"/>
        </w:rPr>
      </w:pPr>
      <w:r w:rsidRPr="005616BA">
        <w:rPr>
          <w:rFonts w:eastAsiaTheme="minorHAnsi" w:cs="Arial"/>
          <w:b/>
          <w:i/>
          <w:color w:val="548DD4" w:themeColor="text2" w:themeTint="99"/>
          <w:sz w:val="20"/>
          <w:szCs w:val="20"/>
        </w:rPr>
        <w:t>Special Revenue Funds are used to account for specific revenue sources that are restricted by law or administrative action to expenditures for specific purposes</w:t>
      </w:r>
      <w:r w:rsidRPr="00B35E22">
        <w:rPr>
          <w:rFonts w:eastAsiaTheme="minorHAnsi" w:cs="Arial"/>
          <w:i/>
          <w:sz w:val="20"/>
          <w:szCs w:val="20"/>
        </w:rPr>
        <w:t>.</w:t>
      </w:r>
    </w:p>
    <w:p w:rsidR="00B35E22" w:rsidRPr="00B35E22" w:rsidRDefault="00B35E22" w:rsidP="00B35E22">
      <w:pPr>
        <w:autoSpaceDE w:val="0"/>
        <w:autoSpaceDN w:val="0"/>
        <w:adjustRightInd w:val="0"/>
        <w:rPr>
          <w:rFonts w:eastAsiaTheme="minorHAnsi" w:cs="Arial"/>
          <w:sz w:val="20"/>
          <w:szCs w:val="20"/>
        </w:rPr>
      </w:pPr>
    </w:p>
    <w:p w:rsidR="004A0984" w:rsidRDefault="004A0984" w:rsidP="00B35E22">
      <w:pPr>
        <w:autoSpaceDE w:val="0"/>
        <w:autoSpaceDN w:val="0"/>
        <w:adjustRightInd w:val="0"/>
        <w:rPr>
          <w:rFonts w:eastAsiaTheme="minorHAnsi" w:cs="Arial"/>
          <w:b/>
          <w:bCs/>
          <w:i/>
          <w:iCs/>
          <w:sz w:val="20"/>
          <w:szCs w:val="20"/>
        </w:rPr>
      </w:pPr>
    </w:p>
    <w:p w:rsidR="00B35E22" w:rsidRPr="001767AB"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Utility/Telephone Fund </w:t>
      </w:r>
      <w:r w:rsidRPr="00B35E22">
        <w:rPr>
          <w:rFonts w:eastAsiaTheme="minorHAnsi" w:cs="Arial"/>
          <w:i/>
          <w:iCs/>
          <w:sz w:val="20"/>
          <w:szCs w:val="20"/>
        </w:rPr>
        <w:t xml:space="preserve">– </w:t>
      </w:r>
      <w:r w:rsidRPr="001767AB">
        <w:rPr>
          <w:rFonts w:eastAsiaTheme="minorHAnsi" w:cs="Arial"/>
          <w:sz w:val="20"/>
          <w:szCs w:val="20"/>
        </w:rPr>
        <w:t>This fund accounts for the accumulation of funds used to offset the City’s utility and telephone expenses.</w:t>
      </w:r>
    </w:p>
    <w:p w:rsidR="00B35E22" w:rsidRPr="00B35E22" w:rsidRDefault="00B35E22" w:rsidP="00B35E22">
      <w:pPr>
        <w:autoSpaceDE w:val="0"/>
        <w:autoSpaceDN w:val="0"/>
        <w:adjustRightInd w:val="0"/>
        <w:rPr>
          <w:rFonts w:eastAsiaTheme="minorHAnsi" w:cs="Arial"/>
          <w:sz w:val="20"/>
          <w:szCs w:val="20"/>
        </w:rPr>
      </w:pPr>
    </w:p>
    <w:p w:rsid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Receipts Reserved Fund </w:t>
      </w:r>
      <w:r w:rsidRPr="00B35E22">
        <w:rPr>
          <w:rFonts w:eastAsiaTheme="minorHAnsi" w:cs="Arial"/>
          <w:sz w:val="20"/>
          <w:szCs w:val="20"/>
        </w:rPr>
        <w:t>– This fund accounts for specific receipts identified by the Commonwealth that are to be held until appropriated.</w:t>
      </w:r>
    </w:p>
    <w:p w:rsidR="00C706AC" w:rsidRPr="00B35E22" w:rsidRDefault="00C706AC" w:rsidP="00B35E22">
      <w:pPr>
        <w:autoSpaceDE w:val="0"/>
        <w:autoSpaceDN w:val="0"/>
        <w:adjustRightInd w:val="0"/>
        <w:rPr>
          <w:rFonts w:eastAsiaTheme="minorHAnsi" w:cs="Arial"/>
          <w:sz w:val="20"/>
          <w:szCs w:val="20"/>
        </w:rPr>
      </w:pPr>
    </w:p>
    <w:p w:rsidR="00B35E22" w:rsidRPr="00B35E22" w:rsidRDefault="00B35E22" w:rsidP="00B35E22">
      <w:pPr>
        <w:rPr>
          <w:rFonts w:eastAsiaTheme="minorHAnsi" w:cs="Arial"/>
          <w:color w:val="000000"/>
          <w:sz w:val="20"/>
          <w:szCs w:val="20"/>
        </w:rPr>
      </w:pPr>
      <w:r w:rsidRPr="003C06B3">
        <w:rPr>
          <w:rFonts w:eastAsiaTheme="minorHAnsi" w:cs="Arial"/>
          <w:b/>
          <w:bCs/>
          <w:i/>
          <w:iCs/>
          <w:sz w:val="20"/>
          <w:szCs w:val="20"/>
        </w:rPr>
        <w:t>Community Preservation Fund</w:t>
      </w:r>
      <w:r w:rsidRPr="00B35E22">
        <w:rPr>
          <w:rFonts w:ascii="Arial Black" w:hAnsi="Arial Black"/>
          <w:b/>
          <w:i/>
          <w:sz w:val="18"/>
          <w:szCs w:val="18"/>
        </w:rPr>
        <w:t xml:space="preserve"> - </w:t>
      </w:r>
      <w:r w:rsidRPr="00B35E22">
        <w:rPr>
          <w:rFonts w:eastAsiaTheme="minorHAnsi" w:cs="Arial"/>
          <w:color w:val="000000"/>
          <w:sz w:val="20"/>
          <w:szCs w:val="20"/>
        </w:rPr>
        <w:t>This fund has three purposes: the purchase of open space, the preservation</w:t>
      </w:r>
    </w:p>
    <w:p w:rsidR="00B35E22" w:rsidRPr="00B35E22" w:rsidRDefault="00B35E22" w:rsidP="00B35E22">
      <w:pPr>
        <w:rPr>
          <w:rFonts w:ascii="Arial Black" w:hAnsi="Arial Black"/>
          <w:b/>
          <w:i/>
          <w:color w:val="FF0000"/>
          <w:sz w:val="20"/>
          <w:szCs w:val="20"/>
        </w:rPr>
      </w:pPr>
      <w:r w:rsidRPr="00B35E22">
        <w:rPr>
          <w:rFonts w:eastAsiaTheme="minorHAnsi" w:cs="Arial"/>
          <w:b/>
          <w:color w:val="000000"/>
          <w:sz w:val="20"/>
          <w:szCs w:val="20"/>
        </w:rPr>
        <w:t xml:space="preserve"> </w:t>
      </w:r>
      <w:r w:rsidRPr="00B35E22">
        <w:rPr>
          <w:rFonts w:eastAsiaTheme="minorHAnsi" w:cs="Arial"/>
          <w:color w:val="000000"/>
          <w:sz w:val="20"/>
          <w:szCs w:val="20"/>
        </w:rPr>
        <w:t>of historic resources and the establishment of affordable housing</w:t>
      </w:r>
      <w:r w:rsidRPr="00B35E22">
        <w:rPr>
          <w:rFonts w:eastAsiaTheme="minorHAnsi" w:cs="Arial"/>
          <w:b/>
          <w:color w:val="000000"/>
          <w:sz w:val="20"/>
          <w:szCs w:val="20"/>
        </w:rPr>
        <w:t>.</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School Lunch Fund </w:t>
      </w:r>
      <w:r w:rsidRPr="00B35E22">
        <w:rPr>
          <w:rFonts w:eastAsiaTheme="minorHAnsi" w:cs="Arial"/>
          <w:i/>
          <w:iCs/>
          <w:sz w:val="20"/>
          <w:szCs w:val="20"/>
        </w:rPr>
        <w:t xml:space="preserve">– </w:t>
      </w:r>
      <w:r w:rsidRPr="00B35E22">
        <w:rPr>
          <w:rFonts w:eastAsiaTheme="minorHAnsi" w:cs="Arial"/>
          <w:sz w:val="20"/>
          <w:szCs w:val="20"/>
        </w:rPr>
        <w:t>This fund accounts for the school cafeteria activities and is funded by user fees and grants.</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Highway Improvements Fund </w:t>
      </w:r>
      <w:r w:rsidRPr="00B35E22">
        <w:rPr>
          <w:rFonts w:eastAsiaTheme="minorHAnsi" w:cs="Arial"/>
          <w:sz w:val="20"/>
          <w:szCs w:val="20"/>
        </w:rPr>
        <w:t>– This fund is used to account for roadway improvements for which expenditures are reimbursed 100% by the Commonwealth.</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Revolving Fund </w:t>
      </w:r>
      <w:r w:rsidRPr="00B35E22">
        <w:rPr>
          <w:rFonts w:eastAsiaTheme="minorHAnsi" w:cs="Arial"/>
          <w:sz w:val="20"/>
          <w:szCs w:val="20"/>
        </w:rPr>
        <w:t>– This fund accounts for self-supporting programs sponsored by the City</w:t>
      </w: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sz w:val="20"/>
          <w:szCs w:val="20"/>
        </w:rPr>
        <w:t>.</w:t>
      </w: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Federal Grants School Fund </w:t>
      </w:r>
      <w:r w:rsidRPr="00B35E22">
        <w:rPr>
          <w:rFonts w:eastAsiaTheme="minorHAnsi" w:cs="Arial"/>
          <w:sz w:val="20"/>
          <w:szCs w:val="20"/>
        </w:rPr>
        <w:t>– This fund is used to account for grant funds received from the federal</w:t>
      </w: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sz w:val="20"/>
          <w:szCs w:val="20"/>
        </w:rPr>
        <w:t>government which are designated for specific school related programs.</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Federal Grants City Fund </w:t>
      </w:r>
      <w:r w:rsidRPr="00B35E22">
        <w:rPr>
          <w:rFonts w:eastAsiaTheme="minorHAnsi" w:cs="Arial"/>
          <w:sz w:val="20"/>
          <w:szCs w:val="20"/>
        </w:rPr>
        <w:t>– This fund is used to account for grant funds received from the federal government which are designated for specific non-school related programs.</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State Grants School Fund </w:t>
      </w:r>
      <w:r w:rsidRPr="00B35E22">
        <w:rPr>
          <w:rFonts w:eastAsiaTheme="minorHAnsi" w:cs="Arial"/>
          <w:sz w:val="20"/>
          <w:szCs w:val="20"/>
        </w:rPr>
        <w:t>– This fund is used to account for grant funds received from the Commonwealth which are designated for specific school related programs.</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State Grants City Fund </w:t>
      </w:r>
      <w:r w:rsidRPr="00B35E22">
        <w:rPr>
          <w:rFonts w:eastAsiaTheme="minorHAnsi" w:cs="Arial"/>
          <w:sz w:val="20"/>
          <w:szCs w:val="20"/>
        </w:rPr>
        <w:t>– This fund is used to account for grant funds received from the Commonwealth which are designated for specific non-school related programs.</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r w:rsidRPr="00B35E22">
        <w:rPr>
          <w:rFonts w:eastAsiaTheme="minorHAnsi" w:cs="Arial"/>
          <w:b/>
          <w:bCs/>
          <w:i/>
          <w:iCs/>
          <w:sz w:val="20"/>
          <w:szCs w:val="20"/>
        </w:rPr>
        <w:t xml:space="preserve">Other </w:t>
      </w:r>
      <w:r w:rsidRPr="00B35E22">
        <w:rPr>
          <w:rFonts w:eastAsiaTheme="minorHAnsi" w:cs="Arial"/>
          <w:sz w:val="20"/>
          <w:szCs w:val="20"/>
        </w:rPr>
        <w:t>– This fund accounts for all other legally established special revenues where the funds are spent on governmental purposes.</w:t>
      </w:r>
    </w:p>
    <w:p w:rsidR="00B35E22" w:rsidRPr="00B35E22" w:rsidRDefault="00B35E22" w:rsidP="00B35E22">
      <w:pPr>
        <w:autoSpaceDE w:val="0"/>
        <w:autoSpaceDN w:val="0"/>
        <w:adjustRightInd w:val="0"/>
        <w:rPr>
          <w:rFonts w:eastAsiaTheme="minorHAnsi" w:cs="Arial"/>
          <w:sz w:val="20"/>
          <w:szCs w:val="20"/>
        </w:rPr>
      </w:pPr>
    </w:p>
    <w:p w:rsidR="00C706AC" w:rsidRPr="00B35E22" w:rsidRDefault="00C706AC" w:rsidP="00C706AC">
      <w:pPr>
        <w:autoSpaceDE w:val="0"/>
        <w:autoSpaceDN w:val="0"/>
        <w:adjustRightInd w:val="0"/>
        <w:rPr>
          <w:rFonts w:eastAsiaTheme="minorHAnsi" w:cs="Arial"/>
          <w:sz w:val="20"/>
          <w:szCs w:val="20"/>
        </w:rPr>
      </w:pPr>
      <w:r w:rsidRPr="00B35E22">
        <w:rPr>
          <w:rFonts w:eastAsiaTheme="minorHAnsi" w:cs="Arial"/>
          <w:sz w:val="20"/>
          <w:szCs w:val="20"/>
        </w:rPr>
        <w:t>.</w:t>
      </w: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B35E22">
      <w:pPr>
        <w:autoSpaceDE w:val="0"/>
        <w:autoSpaceDN w:val="0"/>
        <w:adjustRightInd w:val="0"/>
        <w:rPr>
          <w:rFonts w:eastAsiaTheme="minorHAnsi" w:cs="Arial"/>
          <w:sz w:val="20"/>
          <w:szCs w:val="20"/>
        </w:rPr>
      </w:pPr>
    </w:p>
    <w:p w:rsidR="00B35E22" w:rsidRPr="00B35E22" w:rsidRDefault="00B35E22" w:rsidP="007D09D1"/>
    <w:p w:rsidR="00B35E22" w:rsidRPr="00B35E22" w:rsidRDefault="00B35E22" w:rsidP="00B35E22">
      <w:pPr>
        <w:rPr>
          <w:rFonts w:eastAsiaTheme="minorHAnsi" w:cs="Arial"/>
          <w:b/>
          <w:color w:val="000000"/>
          <w:sz w:val="18"/>
          <w:szCs w:val="18"/>
        </w:rPr>
      </w:pPr>
    </w:p>
    <w:p w:rsidR="004A0984" w:rsidRDefault="004A0984" w:rsidP="00B639C8">
      <w:pPr>
        <w:jc w:val="center"/>
        <w:rPr>
          <w:rFonts w:asciiTheme="minorHAnsi" w:eastAsiaTheme="minorHAnsi" w:hAnsiTheme="minorHAnsi" w:cstheme="minorBidi"/>
          <w:i/>
          <w:sz w:val="18"/>
          <w:szCs w:val="18"/>
        </w:rPr>
      </w:pPr>
    </w:p>
    <w:p w:rsidR="004A0984" w:rsidRDefault="004A0984" w:rsidP="00B639C8">
      <w:pPr>
        <w:jc w:val="center"/>
        <w:rPr>
          <w:rFonts w:asciiTheme="minorHAnsi" w:eastAsiaTheme="minorHAnsi" w:hAnsiTheme="minorHAnsi" w:cstheme="minorBidi"/>
          <w:i/>
          <w:sz w:val="18"/>
          <w:szCs w:val="18"/>
        </w:rPr>
      </w:pPr>
    </w:p>
    <w:p w:rsidR="004A0984" w:rsidRDefault="004A0984" w:rsidP="00B639C8">
      <w:pPr>
        <w:jc w:val="center"/>
        <w:rPr>
          <w:rFonts w:asciiTheme="minorHAnsi" w:eastAsiaTheme="minorHAnsi" w:hAnsiTheme="minorHAnsi" w:cstheme="minorBidi"/>
          <w:i/>
          <w:sz w:val="18"/>
          <w:szCs w:val="18"/>
        </w:rPr>
      </w:pPr>
    </w:p>
    <w:p w:rsidR="0039348D" w:rsidRDefault="004A0984" w:rsidP="00B639C8">
      <w:pPr>
        <w:jc w:val="center"/>
      </w:pPr>
      <w:r>
        <w:rPr>
          <w:rFonts w:asciiTheme="minorHAnsi" w:eastAsiaTheme="minorHAnsi" w:hAnsiTheme="minorHAnsi" w:cstheme="minorBidi"/>
          <w:i/>
          <w:sz w:val="18"/>
          <w:szCs w:val="18"/>
        </w:rPr>
        <w:t xml:space="preserve">Source: (CAFR) -  </w:t>
      </w:r>
      <w:r w:rsidR="00B35E22" w:rsidRPr="00B35E22">
        <w:rPr>
          <w:rFonts w:asciiTheme="minorHAnsi" w:eastAsiaTheme="minorHAnsi" w:hAnsiTheme="minorHAnsi" w:cstheme="minorBidi"/>
          <w:i/>
          <w:sz w:val="18"/>
          <w:szCs w:val="18"/>
        </w:rPr>
        <w:t>Comprehensiv</w:t>
      </w:r>
      <w:r>
        <w:rPr>
          <w:rFonts w:asciiTheme="minorHAnsi" w:eastAsiaTheme="minorHAnsi" w:hAnsiTheme="minorHAnsi" w:cstheme="minorBidi"/>
          <w:i/>
          <w:sz w:val="18"/>
          <w:szCs w:val="18"/>
        </w:rPr>
        <w:t>e Annual Financial Report FY2021</w:t>
      </w:r>
      <w:r w:rsidR="00413173">
        <w:br w:type="page"/>
      </w:r>
    </w:p>
    <w:p w:rsidR="0071682F" w:rsidRDefault="000E1150" w:rsidP="001767AB">
      <w:pPr>
        <w:spacing w:after="200" w:line="276" w:lineRule="auto"/>
      </w:pPr>
      <w:r>
        <w:rPr>
          <w:noProof/>
        </w:rPr>
        <w:drawing>
          <wp:inline distT="0" distB="0" distL="0" distR="0">
            <wp:extent cx="6858000" cy="6638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6638925"/>
                    </a:xfrm>
                    <a:prstGeom prst="rect">
                      <a:avLst/>
                    </a:prstGeom>
                    <a:noFill/>
                    <a:ln>
                      <a:noFill/>
                    </a:ln>
                  </pic:spPr>
                </pic:pic>
              </a:graphicData>
            </a:graphic>
          </wp:inline>
        </w:drawing>
      </w:r>
    </w:p>
    <w:p w:rsidR="0071682F" w:rsidRDefault="0071682F" w:rsidP="001767AB">
      <w:pPr>
        <w:spacing w:after="200" w:line="276" w:lineRule="auto"/>
      </w:pPr>
    </w:p>
    <w:p w:rsidR="0071682F" w:rsidRDefault="0071682F" w:rsidP="001767AB">
      <w:pPr>
        <w:spacing w:after="200" w:line="276" w:lineRule="auto"/>
      </w:pPr>
    </w:p>
    <w:p w:rsidR="0071682F" w:rsidRDefault="0071682F" w:rsidP="001767AB">
      <w:pPr>
        <w:spacing w:after="200" w:line="276" w:lineRule="auto"/>
      </w:pPr>
    </w:p>
    <w:p w:rsidR="0071682F" w:rsidRDefault="000E1150" w:rsidP="001767AB">
      <w:pPr>
        <w:spacing w:after="200" w:line="276" w:lineRule="auto"/>
      </w:pPr>
      <w:r>
        <w:rPr>
          <w:noProof/>
        </w:rPr>
        <w:drawing>
          <wp:inline distT="0" distB="0" distL="0" distR="0">
            <wp:extent cx="6848475" cy="6438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8475" cy="6438900"/>
                    </a:xfrm>
                    <a:prstGeom prst="rect">
                      <a:avLst/>
                    </a:prstGeom>
                    <a:noFill/>
                    <a:ln>
                      <a:noFill/>
                    </a:ln>
                  </pic:spPr>
                </pic:pic>
              </a:graphicData>
            </a:graphic>
          </wp:inline>
        </w:drawing>
      </w:r>
    </w:p>
    <w:p w:rsidR="0071682F" w:rsidRDefault="0071682F" w:rsidP="001767AB">
      <w:pPr>
        <w:spacing w:after="200" w:line="276" w:lineRule="auto"/>
      </w:pPr>
    </w:p>
    <w:p w:rsidR="00203A41" w:rsidRPr="004A0984" w:rsidRDefault="0039348D" w:rsidP="001767AB">
      <w:pPr>
        <w:spacing w:after="200" w:line="276" w:lineRule="auto"/>
        <w:rPr>
          <w:noProof/>
          <w:u w:val="single"/>
        </w:rPr>
      </w:pPr>
      <w:r>
        <w:br w:type="page"/>
      </w:r>
      <w:r w:rsidR="001767AB">
        <w:t xml:space="preserve">                                                              </w:t>
      </w:r>
      <w:r w:rsidR="005616BA" w:rsidRPr="004A0984">
        <w:rPr>
          <w:rFonts w:cs="Arial"/>
          <w:b/>
          <w:u w:val="single"/>
        </w:rPr>
        <w:t>Capital Projects Fund</w:t>
      </w:r>
    </w:p>
    <w:p w:rsidR="005616BA" w:rsidRPr="005616BA" w:rsidRDefault="005616BA" w:rsidP="005616BA">
      <w:pPr>
        <w:autoSpaceDE w:val="0"/>
        <w:autoSpaceDN w:val="0"/>
        <w:adjustRightInd w:val="0"/>
        <w:jc w:val="center"/>
        <w:rPr>
          <w:rFonts w:cs="Arial"/>
          <w:b/>
        </w:rPr>
      </w:pPr>
    </w:p>
    <w:p w:rsidR="005616BA" w:rsidRPr="005616BA" w:rsidRDefault="005616BA" w:rsidP="005616BA">
      <w:pPr>
        <w:spacing w:after="200" w:line="276" w:lineRule="auto"/>
        <w:jc w:val="center"/>
        <w:rPr>
          <w:rFonts w:eastAsiaTheme="minorHAnsi" w:cs="Arial"/>
          <w:b/>
          <w:i/>
          <w:color w:val="548DD4" w:themeColor="text2" w:themeTint="99"/>
          <w:sz w:val="20"/>
          <w:szCs w:val="20"/>
        </w:rPr>
      </w:pPr>
      <w:r w:rsidRPr="005616BA">
        <w:rPr>
          <w:rFonts w:eastAsiaTheme="minorHAnsi" w:cs="Arial"/>
          <w:b/>
          <w:i/>
          <w:color w:val="548DD4" w:themeColor="text2" w:themeTint="99"/>
          <w:sz w:val="20"/>
          <w:szCs w:val="20"/>
        </w:rPr>
        <w:t>Capital projects fund are used to account for financial resources to be used for the acquisition, construction or improvement of major capital facilities and equipment (other than those</w:t>
      </w:r>
      <w:r>
        <w:rPr>
          <w:rFonts w:eastAsiaTheme="minorHAnsi" w:cs="Arial"/>
          <w:b/>
          <w:i/>
          <w:color w:val="548DD4" w:themeColor="text2" w:themeTint="99"/>
          <w:sz w:val="20"/>
          <w:szCs w:val="20"/>
        </w:rPr>
        <w:t xml:space="preserve"> financed by en</w:t>
      </w:r>
      <w:r w:rsidRPr="005616BA">
        <w:rPr>
          <w:rFonts w:eastAsiaTheme="minorHAnsi" w:cs="Arial"/>
          <w:b/>
          <w:i/>
          <w:color w:val="548DD4" w:themeColor="text2" w:themeTint="99"/>
          <w:sz w:val="20"/>
          <w:szCs w:val="20"/>
        </w:rPr>
        <w:t>terprise funds.)  Such resources are derived principally from proceeds of general obligation bonds and grants; the capital projects funds are grouped into the following categories:</w:t>
      </w:r>
    </w:p>
    <w:p w:rsidR="00203A41" w:rsidRDefault="00203A41" w:rsidP="00347932">
      <w:pPr>
        <w:pBdr>
          <w:top w:val="single" w:sz="4" w:space="1" w:color="auto"/>
        </w:pBdr>
        <w:spacing w:after="200" w:line="276" w:lineRule="auto"/>
        <w:rPr>
          <w:u w:val="thick"/>
        </w:rPr>
      </w:pPr>
    </w:p>
    <w:p w:rsidR="00347932" w:rsidRDefault="00347932" w:rsidP="00347932">
      <w:pPr>
        <w:autoSpaceDE w:val="0"/>
        <w:autoSpaceDN w:val="0"/>
        <w:adjustRightInd w:val="0"/>
        <w:rPr>
          <w:rFonts w:eastAsiaTheme="minorHAnsi" w:cs="Arial"/>
          <w:b/>
          <w:bCs/>
          <w:i/>
          <w:iCs/>
          <w:sz w:val="20"/>
          <w:szCs w:val="20"/>
        </w:rPr>
      </w:pPr>
      <w:r w:rsidRPr="00347932">
        <w:rPr>
          <w:rFonts w:eastAsiaTheme="minorHAnsi" w:cs="Arial"/>
          <w:b/>
          <w:bCs/>
          <w:i/>
          <w:iCs/>
          <w:sz w:val="20"/>
          <w:szCs w:val="20"/>
        </w:rPr>
        <w:t xml:space="preserve">Public Buildings </w:t>
      </w:r>
      <w:r>
        <w:rPr>
          <w:rFonts w:eastAsiaTheme="minorHAnsi" w:cs="Arial"/>
          <w:b/>
          <w:bCs/>
          <w:i/>
          <w:iCs/>
          <w:sz w:val="20"/>
          <w:szCs w:val="20"/>
        </w:rPr>
        <w:t>–</w:t>
      </w:r>
      <w:r w:rsidRPr="00347932">
        <w:rPr>
          <w:rFonts w:eastAsiaTheme="minorHAnsi" w:cs="Arial"/>
          <w:b/>
          <w:bCs/>
          <w:i/>
          <w:iCs/>
          <w:sz w:val="20"/>
          <w:szCs w:val="20"/>
        </w:rPr>
        <w:t xml:space="preserve"> </w:t>
      </w:r>
      <w:r>
        <w:rPr>
          <w:rFonts w:eastAsiaTheme="minorHAnsi" w:cs="Arial"/>
          <w:b/>
          <w:bCs/>
          <w:i/>
          <w:iCs/>
          <w:sz w:val="20"/>
          <w:szCs w:val="20"/>
        </w:rPr>
        <w:t>used to account for the construction and renovation of various non-school buildings.</w:t>
      </w:r>
    </w:p>
    <w:p w:rsidR="00347932" w:rsidRDefault="00347932" w:rsidP="00347932">
      <w:pPr>
        <w:autoSpaceDE w:val="0"/>
        <w:autoSpaceDN w:val="0"/>
        <w:adjustRightInd w:val="0"/>
        <w:rPr>
          <w:rFonts w:eastAsiaTheme="minorHAnsi" w:cs="Arial"/>
          <w:b/>
          <w:bCs/>
          <w:i/>
          <w:iCs/>
          <w:sz w:val="20"/>
          <w:szCs w:val="20"/>
        </w:rPr>
      </w:pPr>
    </w:p>
    <w:p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Parks – </w:t>
      </w:r>
      <w:r w:rsidR="002C4B1E">
        <w:rPr>
          <w:rFonts w:eastAsiaTheme="minorHAnsi" w:cs="Arial"/>
          <w:b/>
          <w:bCs/>
          <w:i/>
          <w:iCs/>
          <w:sz w:val="20"/>
          <w:szCs w:val="20"/>
        </w:rPr>
        <w:t>u</w:t>
      </w:r>
      <w:r>
        <w:rPr>
          <w:rFonts w:eastAsiaTheme="minorHAnsi" w:cs="Arial"/>
          <w:b/>
          <w:bCs/>
          <w:i/>
          <w:iCs/>
          <w:sz w:val="20"/>
          <w:szCs w:val="20"/>
        </w:rPr>
        <w:t>sed to account for the acquisition, construction, and improvement of various city owned parks.</w:t>
      </w:r>
    </w:p>
    <w:p w:rsidR="00347932" w:rsidRDefault="00347932" w:rsidP="00347932">
      <w:pPr>
        <w:autoSpaceDE w:val="0"/>
        <w:autoSpaceDN w:val="0"/>
        <w:adjustRightInd w:val="0"/>
        <w:rPr>
          <w:rFonts w:eastAsiaTheme="minorHAnsi" w:cs="Arial"/>
          <w:b/>
          <w:bCs/>
          <w:i/>
          <w:iCs/>
          <w:sz w:val="20"/>
          <w:szCs w:val="20"/>
        </w:rPr>
      </w:pPr>
    </w:p>
    <w:p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Equipment – </w:t>
      </w:r>
      <w:r w:rsidR="002C4B1E">
        <w:rPr>
          <w:rFonts w:eastAsiaTheme="minorHAnsi" w:cs="Arial"/>
          <w:b/>
          <w:bCs/>
          <w:i/>
          <w:iCs/>
          <w:sz w:val="20"/>
          <w:szCs w:val="20"/>
        </w:rPr>
        <w:t>u</w:t>
      </w:r>
      <w:r>
        <w:rPr>
          <w:rFonts w:eastAsiaTheme="minorHAnsi" w:cs="Arial"/>
          <w:b/>
          <w:bCs/>
          <w:i/>
          <w:iCs/>
          <w:sz w:val="20"/>
          <w:szCs w:val="20"/>
        </w:rPr>
        <w:t>sed to account for the acquisition of capital equipment that is not funded by operating budgets.</w:t>
      </w:r>
    </w:p>
    <w:p w:rsidR="00347932" w:rsidRDefault="00347932" w:rsidP="00347932">
      <w:pPr>
        <w:autoSpaceDE w:val="0"/>
        <w:autoSpaceDN w:val="0"/>
        <w:adjustRightInd w:val="0"/>
        <w:rPr>
          <w:rFonts w:eastAsiaTheme="minorHAnsi" w:cs="Arial"/>
          <w:b/>
          <w:bCs/>
          <w:i/>
          <w:iCs/>
          <w:sz w:val="20"/>
          <w:szCs w:val="20"/>
        </w:rPr>
      </w:pPr>
    </w:p>
    <w:p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Public Works – </w:t>
      </w:r>
      <w:r w:rsidR="002C4B1E">
        <w:rPr>
          <w:rFonts w:eastAsiaTheme="minorHAnsi" w:cs="Arial"/>
          <w:b/>
          <w:bCs/>
          <w:i/>
          <w:iCs/>
          <w:sz w:val="20"/>
          <w:szCs w:val="20"/>
        </w:rPr>
        <w:t>u</w:t>
      </w:r>
      <w:r>
        <w:rPr>
          <w:rFonts w:eastAsiaTheme="minorHAnsi" w:cs="Arial"/>
          <w:b/>
          <w:bCs/>
          <w:i/>
          <w:iCs/>
          <w:sz w:val="20"/>
          <w:szCs w:val="20"/>
        </w:rPr>
        <w:t xml:space="preserve">sed to account for roadway, drainage and landfill improvements that are not funded by the </w:t>
      </w:r>
    </w:p>
    <w:p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                           </w:t>
      </w:r>
      <w:r w:rsidR="008F1FE1">
        <w:rPr>
          <w:rFonts w:eastAsiaTheme="minorHAnsi" w:cs="Arial"/>
          <w:b/>
          <w:bCs/>
          <w:i/>
          <w:iCs/>
          <w:sz w:val="20"/>
          <w:szCs w:val="20"/>
        </w:rPr>
        <w:t>h</w:t>
      </w:r>
      <w:r>
        <w:rPr>
          <w:rFonts w:eastAsiaTheme="minorHAnsi" w:cs="Arial"/>
          <w:b/>
          <w:bCs/>
          <w:i/>
          <w:iCs/>
          <w:sz w:val="20"/>
          <w:szCs w:val="20"/>
        </w:rPr>
        <w:t>ighway improvements special fund.</w:t>
      </w:r>
    </w:p>
    <w:p w:rsidR="00347932" w:rsidRDefault="00347932" w:rsidP="00347932">
      <w:pPr>
        <w:autoSpaceDE w:val="0"/>
        <w:autoSpaceDN w:val="0"/>
        <w:adjustRightInd w:val="0"/>
        <w:rPr>
          <w:rFonts w:eastAsiaTheme="minorHAnsi" w:cs="Arial"/>
          <w:b/>
          <w:bCs/>
          <w:i/>
          <w:iCs/>
          <w:sz w:val="20"/>
          <w:szCs w:val="20"/>
        </w:rPr>
      </w:pPr>
    </w:p>
    <w:p w:rsidR="00347932" w:rsidRDefault="00347932"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Other – This fund accounts for all other legally established capital </w:t>
      </w:r>
      <w:r w:rsidR="008F1FE1">
        <w:rPr>
          <w:rFonts w:eastAsiaTheme="minorHAnsi" w:cs="Arial"/>
          <w:b/>
          <w:bCs/>
          <w:i/>
          <w:iCs/>
          <w:sz w:val="20"/>
          <w:szCs w:val="20"/>
        </w:rPr>
        <w:t>projects where the funds are spent on</w:t>
      </w:r>
    </w:p>
    <w:p w:rsidR="008F1FE1" w:rsidRPr="00347932" w:rsidRDefault="008F1FE1" w:rsidP="00347932">
      <w:pPr>
        <w:autoSpaceDE w:val="0"/>
        <w:autoSpaceDN w:val="0"/>
        <w:adjustRightInd w:val="0"/>
        <w:rPr>
          <w:rFonts w:eastAsiaTheme="minorHAnsi" w:cs="Arial"/>
          <w:b/>
          <w:bCs/>
          <w:i/>
          <w:iCs/>
          <w:sz w:val="20"/>
          <w:szCs w:val="20"/>
        </w:rPr>
      </w:pPr>
      <w:r>
        <w:rPr>
          <w:rFonts w:eastAsiaTheme="minorHAnsi" w:cs="Arial"/>
          <w:b/>
          <w:bCs/>
          <w:i/>
          <w:iCs/>
          <w:sz w:val="20"/>
          <w:szCs w:val="20"/>
        </w:rPr>
        <w:t xml:space="preserve">              governmental purposes.</w:t>
      </w: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203A41" w:rsidRDefault="00203A41">
      <w:pPr>
        <w:spacing w:after="200" w:line="276" w:lineRule="auto"/>
      </w:pPr>
    </w:p>
    <w:p w:rsidR="008F1FE1" w:rsidRDefault="00203A41">
      <w:pPr>
        <w:spacing w:after="200" w:line="276" w:lineRule="auto"/>
      </w:pPr>
      <w:r>
        <w:t xml:space="preserve">         </w:t>
      </w:r>
    </w:p>
    <w:p w:rsidR="008F1FE1" w:rsidRDefault="008F1FE1">
      <w:pPr>
        <w:spacing w:after="200" w:line="276" w:lineRule="auto"/>
      </w:pPr>
    </w:p>
    <w:p w:rsidR="008F1FE1" w:rsidRDefault="008F1FE1">
      <w:pPr>
        <w:spacing w:after="200" w:line="276" w:lineRule="auto"/>
      </w:pPr>
    </w:p>
    <w:p w:rsidR="008F1FE1" w:rsidRDefault="008F1FE1">
      <w:pPr>
        <w:spacing w:after="200" w:line="276" w:lineRule="auto"/>
      </w:pPr>
    </w:p>
    <w:p w:rsidR="0039348D" w:rsidRPr="00512CA8" w:rsidRDefault="00203A41">
      <w:pPr>
        <w:spacing w:after="200" w:line="276" w:lineRule="auto"/>
        <w:rPr>
          <w:i/>
          <w:sz w:val="18"/>
          <w:szCs w:val="18"/>
        </w:rPr>
      </w:pPr>
      <w:r>
        <w:t xml:space="preserve">  </w:t>
      </w:r>
      <w:r w:rsidR="00C538A8" w:rsidRPr="00C538A8">
        <w:rPr>
          <w:i/>
          <w:sz w:val="18"/>
          <w:szCs w:val="18"/>
        </w:rPr>
        <w:t>Source: City of Springfield Comprehensiv</w:t>
      </w:r>
      <w:r w:rsidR="00C706AC">
        <w:rPr>
          <w:i/>
          <w:sz w:val="18"/>
          <w:szCs w:val="18"/>
        </w:rPr>
        <w:t>e Annual Financial Report FY2018</w:t>
      </w:r>
      <w:r w:rsidR="00C538A8">
        <w:t xml:space="preserve"> </w:t>
      </w:r>
      <w:r w:rsidR="0039348D">
        <w:br w:type="page"/>
      </w:r>
    </w:p>
    <w:p w:rsidR="0039348D" w:rsidRDefault="000E1150" w:rsidP="00485D0B">
      <w:pPr>
        <w:jc w:val="center"/>
      </w:pPr>
      <w:r>
        <w:rPr>
          <w:noProof/>
        </w:rPr>
        <w:drawing>
          <wp:inline distT="0" distB="0" distL="0" distR="0">
            <wp:extent cx="6858000" cy="6372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372225"/>
                    </a:xfrm>
                    <a:prstGeom prst="rect">
                      <a:avLst/>
                    </a:prstGeom>
                    <a:noFill/>
                    <a:ln>
                      <a:noFill/>
                    </a:ln>
                  </pic:spPr>
                </pic:pic>
              </a:graphicData>
            </a:graphic>
          </wp:inline>
        </w:drawing>
      </w:r>
    </w:p>
    <w:p w:rsidR="00A97672" w:rsidRPr="00CF5967" w:rsidRDefault="00A97672" w:rsidP="00CF5967">
      <w:pPr>
        <w:spacing w:after="200" w:line="276" w:lineRule="auto"/>
        <w:jc w:val="center"/>
      </w:pPr>
    </w:p>
    <w:p w:rsidR="0042021B" w:rsidRPr="00A97672" w:rsidRDefault="001D1EBC" w:rsidP="00A97672">
      <w:pPr>
        <w:spacing w:after="200" w:line="276" w:lineRule="auto"/>
        <w:jc w:val="center"/>
        <w:rPr>
          <w:rFonts w:ascii="Bahnschrift SemiCondensed" w:hAnsi="Bahnschrift SemiCondensed"/>
          <w:b/>
          <w:color w:val="0070C0"/>
          <w:sz w:val="32"/>
          <w:szCs w:val="32"/>
        </w:rPr>
      </w:pPr>
      <w:r>
        <w:rPr>
          <w:rFonts w:ascii="Bahnschrift SemiCondensed" w:hAnsi="Bahnschrift SemiCondensed"/>
          <w:b/>
          <w:color w:val="0070C0"/>
          <w:sz w:val="32"/>
          <w:szCs w:val="32"/>
        </w:rPr>
        <w:t>Section</w:t>
      </w:r>
      <w:r w:rsidR="00C3465E">
        <w:rPr>
          <w:rFonts w:ascii="Bahnschrift SemiCondensed" w:hAnsi="Bahnschrift SemiCondensed"/>
          <w:b/>
          <w:color w:val="0070C0"/>
          <w:sz w:val="32"/>
          <w:szCs w:val="32"/>
        </w:rPr>
        <w:t xml:space="preserve"> 3:</w:t>
      </w:r>
      <w:r w:rsidR="00C3465E">
        <w:rPr>
          <w:rFonts w:ascii="Bahnschrift SemiCondensed" w:hAnsi="Bahnschrift SemiCondensed"/>
          <w:b/>
          <w:color w:val="0070C0"/>
          <w:sz w:val="32"/>
          <w:szCs w:val="32"/>
        </w:rPr>
        <w:tab/>
        <w:t>Statement of Revenue and Expenditures</w:t>
      </w:r>
      <w:r w:rsidR="00A97672">
        <w:rPr>
          <w:b/>
          <w:noProof/>
        </w:rPr>
        <w:drawing>
          <wp:inline distT="0" distB="0" distL="0" distR="0">
            <wp:extent cx="6343650" cy="73399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9464" cy="7346673"/>
                    </a:xfrm>
                    <a:prstGeom prst="rect">
                      <a:avLst/>
                    </a:prstGeom>
                    <a:noFill/>
                    <a:ln>
                      <a:noFill/>
                    </a:ln>
                  </pic:spPr>
                </pic:pic>
              </a:graphicData>
            </a:graphic>
          </wp:inline>
        </w:drawing>
      </w:r>
      <w:r>
        <w:rPr>
          <w:rFonts w:ascii="Bahnschrift SemiCondensed" w:hAnsi="Bahnschrift SemiCondensed"/>
          <w:b/>
          <w:color w:val="0070C0"/>
          <w:sz w:val="32"/>
          <w:szCs w:val="32"/>
        </w:rPr>
        <w:t>Section</w:t>
      </w:r>
      <w:r w:rsidR="00A97672" w:rsidRPr="00A97672">
        <w:rPr>
          <w:rFonts w:ascii="Bahnschrift SemiCondensed" w:hAnsi="Bahnschrift SemiCondensed"/>
          <w:b/>
          <w:color w:val="0070C0"/>
          <w:sz w:val="32"/>
          <w:szCs w:val="32"/>
        </w:rPr>
        <w:t xml:space="preserve"> 4</w:t>
      </w:r>
      <w:r w:rsidR="00C3465E">
        <w:rPr>
          <w:rFonts w:ascii="Bahnschrift SemiCondensed" w:hAnsi="Bahnschrift SemiCondensed"/>
          <w:b/>
          <w:color w:val="0070C0"/>
          <w:sz w:val="32"/>
          <w:szCs w:val="32"/>
        </w:rPr>
        <w:t>: Revenue</w:t>
      </w:r>
    </w:p>
    <w:p w:rsidR="00DD441D" w:rsidRDefault="00DD441D" w:rsidP="001E4792">
      <w:pPr>
        <w:jc w:val="center"/>
      </w:pPr>
    </w:p>
    <w:p w:rsidR="00294877" w:rsidRDefault="00294877" w:rsidP="00294877">
      <w:pPr>
        <w:ind w:left="360"/>
      </w:pPr>
      <w:r>
        <w:t>The City of Springfield receives intergovernmental</w:t>
      </w:r>
      <w:r w:rsidR="00571A93">
        <w:t xml:space="preserve"> (State) </w:t>
      </w:r>
      <w:r>
        <w:t xml:space="preserve">aid from the state on a quarterly basis. </w:t>
      </w:r>
    </w:p>
    <w:p w:rsidR="00011391" w:rsidRDefault="00011391" w:rsidP="00294877">
      <w:pPr>
        <w:ind w:left="360"/>
      </w:pPr>
    </w:p>
    <w:p w:rsidR="00294877" w:rsidRDefault="00294877" w:rsidP="00294877">
      <w:pPr>
        <w:ind w:left="360"/>
      </w:pPr>
      <w:r>
        <w:t>Real Estate and Personal Property taxes are due on a quarterly basis. Payments are due in August, November, February, a</w:t>
      </w:r>
      <w:r w:rsidR="001F1F93">
        <w:t xml:space="preserve">nd May. The current rate for </w:t>
      </w:r>
      <w:r>
        <w:t xml:space="preserve">is </w:t>
      </w:r>
      <w:r w:rsidR="00DB1A75">
        <w:t>$</w:t>
      </w:r>
      <w:r w:rsidR="00B34565" w:rsidRPr="001F1F93">
        <w:rPr>
          <w:rFonts w:cs="Arial"/>
          <w:color w:val="333333"/>
          <w:shd w:val="clear" w:color="auto" w:fill="FFFFFF"/>
        </w:rPr>
        <w:t>39.23</w:t>
      </w:r>
      <w:r w:rsidR="00B34565">
        <w:rPr>
          <w:rFonts w:ascii="Georgia" w:hAnsi="Georgia"/>
          <w:color w:val="333333"/>
          <w:shd w:val="clear" w:color="auto" w:fill="FFFFFF"/>
        </w:rPr>
        <w:t xml:space="preserve"> </w:t>
      </w:r>
      <w:r>
        <w:t xml:space="preserve">per $1000 for Commercial and Personal Property; </w:t>
      </w:r>
      <w:r w:rsidR="00084B86">
        <w:rPr>
          <w:strike/>
        </w:rPr>
        <w:t>$</w:t>
      </w:r>
      <w:r w:rsidR="00B34565" w:rsidRPr="001F1F93">
        <w:rPr>
          <w:rFonts w:cs="Arial"/>
          <w:color w:val="333333"/>
          <w:shd w:val="clear" w:color="auto" w:fill="FFFFFF"/>
        </w:rPr>
        <w:t>18.90</w:t>
      </w:r>
      <w:r w:rsidR="00B34565">
        <w:rPr>
          <w:rFonts w:cs="Arial"/>
          <w:color w:val="333333"/>
          <w:sz w:val="20"/>
          <w:szCs w:val="20"/>
          <w:shd w:val="clear" w:color="auto" w:fill="FFFFFF"/>
        </w:rPr>
        <w:t xml:space="preserve"> </w:t>
      </w:r>
      <w:r>
        <w:t>per $1000 for Residential Property.</w:t>
      </w:r>
    </w:p>
    <w:p w:rsidR="00294877" w:rsidRDefault="00294877" w:rsidP="00294877">
      <w:pPr>
        <w:ind w:left="360"/>
      </w:pPr>
    </w:p>
    <w:p w:rsidR="00294877" w:rsidRDefault="00294877" w:rsidP="00294877">
      <w:pPr>
        <w:ind w:left="360"/>
      </w:pPr>
      <w:r>
        <w:t>The City issues the major Motor Vehicle Excise bills in</w:t>
      </w:r>
      <w:r w:rsidR="003D79DE">
        <w:t xml:space="preserve"> the month of February. </w:t>
      </w:r>
      <w:r>
        <w:t xml:space="preserve">Bills are issued throughout the fiscal year for those citizens who purchase vehicles. </w:t>
      </w:r>
    </w:p>
    <w:p w:rsidR="00084B86" w:rsidRDefault="00084B86" w:rsidP="00294877">
      <w:pPr>
        <w:ind w:left="360"/>
      </w:pPr>
    </w:p>
    <w:p w:rsidR="00294877" w:rsidRDefault="00294877" w:rsidP="00294877">
      <w:pPr>
        <w:ind w:left="360"/>
      </w:pPr>
    </w:p>
    <w:p w:rsidR="009F1D86" w:rsidRDefault="009F1D86" w:rsidP="002C70F1">
      <w:pPr>
        <w:spacing w:after="200" w:line="276" w:lineRule="auto"/>
      </w:pPr>
    </w:p>
    <w:p w:rsidR="008F3B24" w:rsidRPr="00B56BF5" w:rsidRDefault="008F3B24" w:rsidP="008138F4">
      <w:pPr>
        <w:spacing w:after="200" w:line="276" w:lineRule="auto"/>
        <w:jc w:val="center"/>
        <w:rPr>
          <w:color w:val="FFFFFF" w:themeColor="background1"/>
          <w:u w:val="single"/>
        </w:rPr>
      </w:pPr>
    </w:p>
    <w:p w:rsidR="0058558D" w:rsidRDefault="002C70F1" w:rsidP="002C70F1">
      <w:pPr>
        <w:spacing w:after="200" w:line="360" w:lineRule="auto"/>
        <w:ind w:left="1440"/>
        <w:rPr>
          <w:noProof/>
        </w:rPr>
      </w:pPr>
      <w:r>
        <w:rPr>
          <w:noProof/>
        </w:rPr>
        <w:drawing>
          <wp:inline distT="0" distB="0" distL="0" distR="0" wp14:anchorId="431C2F01" wp14:editId="6D6DC5E3">
            <wp:extent cx="5195570" cy="4314825"/>
            <wp:effectExtent l="0" t="0" r="508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730C0" w:rsidRDefault="00B730C0" w:rsidP="003801EE">
      <w:pPr>
        <w:spacing w:after="200" w:line="276" w:lineRule="auto"/>
        <w:jc w:val="center"/>
        <w:rPr>
          <w:noProof/>
        </w:rPr>
      </w:pPr>
    </w:p>
    <w:p w:rsidR="00B5387B" w:rsidRDefault="00B5387B" w:rsidP="003801EE">
      <w:pPr>
        <w:spacing w:after="200" w:line="276" w:lineRule="auto"/>
        <w:jc w:val="center"/>
        <w:rPr>
          <w:noProof/>
        </w:rPr>
      </w:pPr>
    </w:p>
    <w:p w:rsidR="00B5387B" w:rsidRDefault="003C3239" w:rsidP="00B5387B">
      <w:pPr>
        <w:spacing w:after="200" w:line="276" w:lineRule="auto"/>
        <w:jc w:val="center"/>
        <w:rPr>
          <w:noProof/>
        </w:rPr>
      </w:pPr>
      <w:r>
        <w:rPr>
          <w:noProof/>
        </w:rPr>
        <w:drawing>
          <wp:inline distT="0" distB="0" distL="0" distR="0">
            <wp:extent cx="6858000" cy="661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6610350"/>
                    </a:xfrm>
                    <a:prstGeom prst="rect">
                      <a:avLst/>
                    </a:prstGeom>
                    <a:noFill/>
                    <a:ln>
                      <a:noFill/>
                    </a:ln>
                  </pic:spPr>
                </pic:pic>
              </a:graphicData>
            </a:graphic>
          </wp:inline>
        </w:drawing>
      </w:r>
    </w:p>
    <w:p w:rsidR="001F0B7E" w:rsidRDefault="001F0B7E" w:rsidP="007029B7">
      <w:pPr>
        <w:spacing w:after="200" w:line="276" w:lineRule="auto"/>
        <w:jc w:val="center"/>
        <w:rPr>
          <w:noProof/>
        </w:rPr>
      </w:pPr>
    </w:p>
    <w:p w:rsidR="001F0B7E" w:rsidRDefault="001F0B7E" w:rsidP="00B5387B">
      <w:pPr>
        <w:spacing w:after="200" w:line="276" w:lineRule="auto"/>
        <w:jc w:val="center"/>
        <w:rPr>
          <w:noProof/>
        </w:rPr>
      </w:pPr>
    </w:p>
    <w:p w:rsidR="00E22AC1" w:rsidRDefault="00E22AC1" w:rsidP="00A97672">
      <w:pPr>
        <w:spacing w:after="200" w:line="276" w:lineRule="auto"/>
        <w:rPr>
          <w:noProof/>
        </w:rPr>
      </w:pPr>
    </w:p>
    <w:p w:rsidR="00E22AC1" w:rsidRDefault="00E22AC1" w:rsidP="00A97672">
      <w:pPr>
        <w:spacing w:after="200" w:line="276" w:lineRule="auto"/>
        <w:rPr>
          <w:noProof/>
        </w:rPr>
      </w:pPr>
    </w:p>
    <w:p w:rsidR="0042021B" w:rsidRPr="0042021B" w:rsidRDefault="00B35E22" w:rsidP="00A97672">
      <w:pPr>
        <w:spacing w:after="200" w:line="276" w:lineRule="auto"/>
        <w:rPr>
          <w:rFonts w:ascii="Bahnschrift SemiCondensed" w:hAnsi="Bahnschrift SemiCondensed"/>
          <w:b/>
          <w:color w:val="0070C0"/>
        </w:rPr>
      </w:pPr>
      <w:r>
        <w:rPr>
          <w:noProof/>
        </w:rPr>
        <w:t xml:space="preserve">                     </w:t>
      </w:r>
      <w:r w:rsidR="00C01C49">
        <w:rPr>
          <w:noProof/>
        </w:rPr>
        <w:t xml:space="preserve">          </w:t>
      </w:r>
      <w:r>
        <w:rPr>
          <w:noProof/>
        </w:rPr>
        <w:t xml:space="preserve">                      </w:t>
      </w:r>
      <w:r w:rsidR="007D29B7">
        <w:rPr>
          <w:b/>
          <w:caps/>
          <w:color w:val="0070C0"/>
        </w:rPr>
        <w:t xml:space="preserve">  </w:t>
      </w:r>
      <w:r w:rsidR="0042021B">
        <w:rPr>
          <w:b/>
          <w:caps/>
          <w:color w:val="0070C0"/>
        </w:rPr>
        <w:t xml:space="preserve">         </w:t>
      </w:r>
      <w:r w:rsidR="00F5085C">
        <w:rPr>
          <w:b/>
          <w:caps/>
          <w:color w:val="0070C0"/>
        </w:rPr>
        <w:t xml:space="preserve"> </w:t>
      </w:r>
      <w:r w:rsidR="007B0F8B" w:rsidRPr="00A97672">
        <w:rPr>
          <w:rFonts w:ascii="Bahnschrift SemiCondensed" w:hAnsi="Bahnschrift SemiCondensed"/>
          <w:b/>
          <w:color w:val="0070C0"/>
          <w:sz w:val="32"/>
          <w:szCs w:val="32"/>
        </w:rPr>
        <w:t>Se</w:t>
      </w:r>
      <w:r w:rsidR="00A97672" w:rsidRPr="00A97672">
        <w:rPr>
          <w:rFonts w:ascii="Bahnschrift SemiCondensed" w:hAnsi="Bahnschrift SemiCondensed"/>
          <w:b/>
          <w:color w:val="0070C0"/>
          <w:sz w:val="32"/>
          <w:szCs w:val="32"/>
        </w:rPr>
        <w:t>ction 5</w:t>
      </w:r>
      <w:r w:rsidR="0042021B" w:rsidRPr="00A97672">
        <w:rPr>
          <w:rFonts w:ascii="Bahnschrift SemiCondensed" w:hAnsi="Bahnschrift SemiCondensed"/>
          <w:b/>
          <w:color w:val="0070C0"/>
          <w:sz w:val="32"/>
          <w:szCs w:val="32"/>
        </w:rPr>
        <w:t>: Expenditures</w:t>
      </w:r>
      <w:r w:rsidR="0042021B">
        <w:rPr>
          <w:rFonts w:ascii="Bahnschrift SemiCondensed" w:hAnsi="Bahnschrift SemiCondensed"/>
          <w:b/>
          <w:color w:val="0070C0"/>
        </w:rPr>
        <w:t xml:space="preserve"> </w:t>
      </w:r>
    </w:p>
    <w:p w:rsidR="007B0F8B" w:rsidRPr="007B0F8B" w:rsidRDefault="007B0F8B" w:rsidP="007B0F8B">
      <w:pPr>
        <w:ind w:left="360"/>
      </w:pPr>
    </w:p>
    <w:p w:rsidR="007B0F8B" w:rsidRPr="007B0F8B" w:rsidRDefault="007B0F8B" w:rsidP="007B0F8B">
      <w:pPr>
        <w:ind w:left="360"/>
      </w:pPr>
      <w:r w:rsidRPr="007B0F8B">
        <w:t>The City of Springfield makes a one-time payment to the Springfield Retirement System in Ju</w:t>
      </w:r>
      <w:r w:rsidR="00477361">
        <w:t>ly of the fiscal year. The FY 22</w:t>
      </w:r>
      <w:r w:rsidR="004A0984">
        <w:t xml:space="preserve"> total </w:t>
      </w:r>
      <w:r w:rsidRPr="007B0F8B">
        <w:t xml:space="preserve">payment </w:t>
      </w:r>
      <w:r w:rsidRPr="00E22AC1">
        <w:t>was</w:t>
      </w:r>
      <w:r w:rsidR="001D0134" w:rsidRPr="00E22AC1">
        <w:t xml:space="preserve"> $</w:t>
      </w:r>
      <w:r w:rsidR="004A0984" w:rsidRPr="00E22AC1">
        <w:t>75.3</w:t>
      </w:r>
      <w:r w:rsidRPr="00E22AC1">
        <w:t>M</w:t>
      </w:r>
      <w:r w:rsidR="004A0984" w:rsidRPr="00E22AC1">
        <w:t xml:space="preserve">.  This represents $51.8 for </w:t>
      </w:r>
      <w:r w:rsidR="00E22AC1" w:rsidRPr="00E22AC1">
        <w:t>City employees</w:t>
      </w:r>
      <w:r w:rsidRPr="00E22AC1">
        <w:t xml:space="preserve">, and </w:t>
      </w:r>
      <w:r w:rsidR="001D0134" w:rsidRPr="00E22AC1">
        <w:t>$</w:t>
      </w:r>
      <w:r w:rsidR="00E22AC1" w:rsidRPr="00E22AC1">
        <w:t>23.1</w:t>
      </w:r>
      <w:r w:rsidRPr="00E22AC1">
        <w:t>M</w:t>
      </w:r>
      <w:r w:rsidR="00E22AC1" w:rsidRPr="00E22AC1">
        <w:t xml:space="preserve"> for School employees</w:t>
      </w:r>
      <w:r w:rsidR="001D0134" w:rsidRPr="00E22AC1">
        <w:t xml:space="preserve"> and $</w:t>
      </w:r>
      <w:r w:rsidR="00830ECF" w:rsidRPr="00E22AC1">
        <w:t>452</w:t>
      </w:r>
      <w:r w:rsidR="0028266E" w:rsidRPr="00E22AC1">
        <w:t xml:space="preserve">k for </w:t>
      </w:r>
      <w:r w:rsidR="00E22AC1" w:rsidRPr="00E22AC1">
        <w:t xml:space="preserve">the </w:t>
      </w:r>
      <w:r w:rsidR="0028266E" w:rsidRPr="00E22AC1">
        <w:t>Trash Enterprise</w:t>
      </w:r>
      <w:r w:rsidR="00E22AC1" w:rsidRPr="00E22AC1">
        <w:t xml:space="preserve"> employees</w:t>
      </w:r>
      <w:r w:rsidR="0028266E" w:rsidRPr="00E22AC1">
        <w:t>.</w:t>
      </w:r>
    </w:p>
    <w:p w:rsidR="007B0F8B" w:rsidRPr="007B0F8B" w:rsidRDefault="007B0F8B" w:rsidP="007B0F8B">
      <w:pPr>
        <w:ind w:left="360"/>
      </w:pPr>
    </w:p>
    <w:p w:rsidR="007B0F8B" w:rsidRPr="007B0F8B" w:rsidRDefault="007B0F8B" w:rsidP="007B0F8B">
      <w:pPr>
        <w:ind w:left="360"/>
      </w:pPr>
      <w:r w:rsidRPr="007B0F8B">
        <w:t xml:space="preserve">All School Teachers' salaries are expended between the months of September-June.  </w:t>
      </w:r>
    </w:p>
    <w:p w:rsidR="007B0F8B" w:rsidRPr="007B0F8B" w:rsidRDefault="007B0F8B" w:rsidP="007B0F8B">
      <w:pPr>
        <w:ind w:left="360"/>
      </w:pPr>
    </w:p>
    <w:p w:rsidR="007B0F8B" w:rsidRPr="007B0F8B" w:rsidRDefault="007B0F8B" w:rsidP="007B0F8B">
      <w:pPr>
        <w:ind w:left="360"/>
      </w:pPr>
      <w:r w:rsidRPr="007B0F8B">
        <w:t xml:space="preserve">The Park Department runs many seasonal programs occurring in the warmer months of the fiscal year. The Park Department also operates two Municipal Golf Courses, Veterans and </w:t>
      </w:r>
      <w:smartTag w:uri="urn:schemas-microsoft-com:office:smarttags" w:element="place">
        <w:r w:rsidRPr="007B0F8B">
          <w:t>Franconia</w:t>
        </w:r>
      </w:smartTag>
      <w:r w:rsidRPr="007B0F8B">
        <w:t>.</w:t>
      </w:r>
    </w:p>
    <w:p w:rsidR="007B0F8B" w:rsidRPr="007B0F8B" w:rsidRDefault="007B0F8B" w:rsidP="0028266E"/>
    <w:p w:rsidR="007B0F8B" w:rsidRPr="007B0F8B" w:rsidRDefault="007B0F8B" w:rsidP="007B0F8B">
      <w:pPr>
        <w:ind w:left="360"/>
      </w:pPr>
      <w:r w:rsidRPr="007B0F8B">
        <w:t>The City of Springfield offers Police Officers a yearly career incentive (Quinn Bill). This amount is partially subsidized by the school department for the Springfield support unit.</w:t>
      </w:r>
    </w:p>
    <w:p w:rsidR="007B0F8B" w:rsidRPr="007B0F8B" w:rsidRDefault="007B0F8B" w:rsidP="0003389C"/>
    <w:p w:rsidR="007B0F8B" w:rsidRDefault="007B0F8B" w:rsidP="007B0F8B">
      <w:pPr>
        <w:ind w:left="360"/>
      </w:pPr>
      <w:r w:rsidRPr="007B0F8B">
        <w:t>The City of Springfield supplements the Trash Enterprise fund with a payment from the General Fund operating budget. This supplement is necessary to fully fund the City’s</w:t>
      </w:r>
      <w:r w:rsidR="00477361">
        <w:t xml:space="preserve"> solid waste operation. In FY22</w:t>
      </w:r>
      <w:r w:rsidRPr="007B0F8B">
        <w:t xml:space="preserve"> this supplemental</w:t>
      </w:r>
      <w:r w:rsidR="009F57F5">
        <w:t xml:space="preserve"> payment was </w:t>
      </w:r>
      <w:r w:rsidR="009F57F5" w:rsidRPr="00E22AC1">
        <w:t>$</w:t>
      </w:r>
      <w:r w:rsidR="00830ECF" w:rsidRPr="00E22AC1">
        <w:t>6.2</w:t>
      </w:r>
      <w:r w:rsidRPr="00E22AC1">
        <w:t>M</w:t>
      </w:r>
      <w:r w:rsidRPr="007B0F8B">
        <w:t>.</w:t>
      </w:r>
    </w:p>
    <w:p w:rsidR="00E0626D" w:rsidRDefault="00E0626D" w:rsidP="007B0F8B">
      <w:pPr>
        <w:ind w:left="360"/>
      </w:pPr>
    </w:p>
    <w:p w:rsidR="00FF31C6" w:rsidRPr="007B0F8B" w:rsidRDefault="00FF31C6" w:rsidP="007B0F8B">
      <w:pPr>
        <w:ind w:left="360"/>
      </w:pPr>
    </w:p>
    <w:p w:rsidR="00E11D19" w:rsidRPr="004622BD" w:rsidRDefault="00FF31C6" w:rsidP="00FF31C6">
      <w:pPr>
        <w:jc w:val="center"/>
      </w:pPr>
      <w:r>
        <w:rPr>
          <w:noProof/>
        </w:rPr>
        <w:drawing>
          <wp:inline distT="0" distB="0" distL="0" distR="0" wp14:anchorId="135860E4" wp14:editId="01AC6D1D">
            <wp:extent cx="5362575" cy="413829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7B0F8B" w:rsidRPr="007B0F8B">
        <w:rPr>
          <w:strike/>
        </w:rPr>
        <w:t>.</w:t>
      </w:r>
      <w:r w:rsidR="0039348D">
        <w:br w:type="page"/>
      </w:r>
    </w:p>
    <w:p w:rsidR="00E11D19" w:rsidRDefault="00FF31C6" w:rsidP="00E11D19">
      <w:pPr>
        <w:spacing w:after="200" w:line="276" w:lineRule="auto"/>
        <w:rPr>
          <w:noProof/>
        </w:rPr>
      </w:pPr>
      <w:r>
        <w:rPr>
          <w:noProof/>
        </w:rPr>
        <w:drawing>
          <wp:inline distT="0" distB="0" distL="0" distR="0">
            <wp:extent cx="6858000" cy="685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rsidR="00844229" w:rsidRDefault="00844229" w:rsidP="00E11D19">
      <w:pPr>
        <w:spacing w:after="200" w:line="276" w:lineRule="auto"/>
        <w:rPr>
          <w:noProof/>
        </w:rPr>
      </w:pPr>
    </w:p>
    <w:p w:rsidR="009F1339" w:rsidRDefault="00FF31C6" w:rsidP="002460EF">
      <w:pPr>
        <w:spacing w:after="200" w:line="276" w:lineRule="auto"/>
        <w:rPr>
          <w:noProof/>
        </w:rPr>
      </w:pPr>
      <w:r>
        <w:rPr>
          <w:noProof/>
        </w:rPr>
        <w:drawing>
          <wp:inline distT="0" distB="0" distL="0" distR="0">
            <wp:extent cx="6848475" cy="776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8475" cy="7762875"/>
                    </a:xfrm>
                    <a:prstGeom prst="rect">
                      <a:avLst/>
                    </a:prstGeom>
                    <a:noFill/>
                    <a:ln>
                      <a:noFill/>
                    </a:ln>
                  </pic:spPr>
                </pic:pic>
              </a:graphicData>
            </a:graphic>
          </wp:inline>
        </w:drawing>
      </w:r>
    </w:p>
    <w:p w:rsidR="002E1638" w:rsidRPr="00252F70" w:rsidRDefault="00C3465E" w:rsidP="00A97672">
      <w:pPr>
        <w:spacing w:after="200" w:line="276" w:lineRule="auto"/>
        <w:jc w:val="center"/>
        <w:rPr>
          <w:rFonts w:ascii="Bahnschrift SemiCondensed" w:hAnsi="Bahnschrift SemiCondensed"/>
          <w:b/>
          <w:color w:val="0070C0"/>
          <w:sz w:val="32"/>
          <w:szCs w:val="32"/>
        </w:rPr>
      </w:pPr>
      <w:r>
        <w:rPr>
          <w:rFonts w:ascii="Bahnschrift SemiCondensed" w:hAnsi="Bahnschrift SemiCondensed"/>
          <w:b/>
          <w:color w:val="0070C0"/>
          <w:sz w:val="32"/>
          <w:szCs w:val="32"/>
        </w:rPr>
        <w:t>Section</w:t>
      </w:r>
      <w:r w:rsidR="00A97672" w:rsidRPr="00252F70">
        <w:rPr>
          <w:rFonts w:ascii="Bahnschrift SemiCondensed" w:hAnsi="Bahnschrift SemiCondensed"/>
          <w:b/>
          <w:color w:val="0070C0"/>
          <w:sz w:val="32"/>
          <w:szCs w:val="32"/>
        </w:rPr>
        <w:t xml:space="preserve"> 6</w:t>
      </w:r>
      <w:r>
        <w:rPr>
          <w:rFonts w:ascii="Bahnschrift SemiCondensed" w:hAnsi="Bahnschrift SemiCondensed"/>
          <w:b/>
          <w:color w:val="0070C0"/>
          <w:sz w:val="32"/>
          <w:szCs w:val="32"/>
        </w:rPr>
        <w:t>: Grants / Gifts</w:t>
      </w:r>
    </w:p>
    <w:p w:rsidR="00BB3789" w:rsidRPr="00252F70" w:rsidRDefault="00BB3789" w:rsidP="002E1638">
      <w:pPr>
        <w:rPr>
          <w:b/>
        </w:rPr>
      </w:pPr>
    </w:p>
    <w:p w:rsidR="002E1638" w:rsidRPr="00B80A6F" w:rsidRDefault="002E1638" w:rsidP="002E1638">
      <w:pPr>
        <w:jc w:val="both"/>
        <w:rPr>
          <w:rFonts w:cs="Arial"/>
          <w:bCs/>
          <w:i/>
        </w:rPr>
      </w:pPr>
      <w:r w:rsidRPr="00252F70">
        <w:rPr>
          <w:rFonts w:cs="Arial"/>
          <w:bCs/>
          <w:i/>
        </w:rPr>
        <w:t>The City of Sp</w:t>
      </w:r>
      <w:r w:rsidR="00DA7416" w:rsidRPr="00252F70">
        <w:rPr>
          <w:rFonts w:cs="Arial"/>
          <w:bCs/>
          <w:i/>
        </w:rPr>
        <w:t xml:space="preserve">ringfield receives </w:t>
      </w:r>
      <w:r w:rsidR="00DA7416" w:rsidRPr="0045154A">
        <w:rPr>
          <w:rFonts w:cs="Arial"/>
          <w:bCs/>
          <w:i/>
        </w:rPr>
        <w:t xml:space="preserve">roughly </w:t>
      </w:r>
      <w:r w:rsidR="00AE62C5">
        <w:rPr>
          <w:rFonts w:cs="Arial"/>
          <w:bCs/>
          <w:i/>
        </w:rPr>
        <w:t>$40</w:t>
      </w:r>
      <w:r w:rsidR="00252F70" w:rsidRPr="00252F70">
        <w:rPr>
          <w:rFonts w:cs="Arial"/>
          <w:bCs/>
          <w:i/>
        </w:rPr>
        <w:t xml:space="preserve"> </w:t>
      </w:r>
      <w:r w:rsidRPr="00252F70">
        <w:rPr>
          <w:rFonts w:cs="Arial"/>
          <w:bCs/>
          <w:i/>
        </w:rPr>
        <w:t>million in grant funding each year.</w:t>
      </w:r>
      <w:r w:rsidRPr="00252F70">
        <w:rPr>
          <w:rStyle w:val="FootnoteReference"/>
          <w:rFonts w:cs="Arial"/>
          <w:bCs/>
          <w:i/>
        </w:rPr>
        <w:footnoteReference w:id="1"/>
      </w:r>
      <w:r w:rsidRPr="00252F70">
        <w:rPr>
          <w:rFonts w:cs="Arial"/>
          <w:bCs/>
          <w:i/>
        </w:rPr>
        <w:t xml:space="preserve"> This funding enhances</w:t>
      </w:r>
      <w:r w:rsidRPr="00B80A6F">
        <w:rPr>
          <w:rFonts w:cs="Arial"/>
          <w:bCs/>
          <w:i/>
        </w:rPr>
        <w:t xml:space="preserve"> programming and services throughout the City. Through the use of grants, Springfield is able to hire personnel, as well as procure professional services, supplies, and equipment that the general fund or taxpayers would otherwise be required to pay for or do without. </w:t>
      </w:r>
    </w:p>
    <w:p w:rsidR="002E1638" w:rsidRDefault="002E1638" w:rsidP="002E1638">
      <w:pPr>
        <w:rPr>
          <w:rFonts w:cs="Arial"/>
          <w:b/>
          <w:bCs/>
        </w:rPr>
      </w:pPr>
    </w:p>
    <w:p w:rsidR="00A370FD" w:rsidRDefault="007667FD" w:rsidP="007667FD">
      <w:pPr>
        <w:rPr>
          <w:rFonts w:cs="Arial"/>
          <w:b/>
          <w:u w:val="single"/>
        </w:rPr>
      </w:pPr>
      <w:r w:rsidRPr="007667FD">
        <w:rPr>
          <w:rFonts w:cs="Arial"/>
          <w:b/>
          <w:u w:val="single"/>
        </w:rPr>
        <w:t>Grant Funds Accepted for</w:t>
      </w:r>
      <w:r>
        <w:rPr>
          <w:rFonts w:cs="Arial"/>
          <w:b/>
          <w:u w:val="single"/>
        </w:rPr>
        <w:t xml:space="preserve"> </w:t>
      </w:r>
      <w:r w:rsidR="00462B0D">
        <w:rPr>
          <w:rFonts w:cs="Arial"/>
          <w:b/>
          <w:u w:val="single"/>
        </w:rPr>
        <w:t>F</w:t>
      </w:r>
      <w:r w:rsidR="00A370FD">
        <w:rPr>
          <w:rFonts w:cs="Arial"/>
          <w:b/>
          <w:u w:val="single"/>
        </w:rPr>
        <w:t>Y2022</w:t>
      </w:r>
      <w:r w:rsidR="00B3659F">
        <w:rPr>
          <w:rFonts w:cs="Arial"/>
          <w:b/>
          <w:u w:val="single"/>
        </w:rPr>
        <w:t xml:space="preserve"> through period ending </w:t>
      </w:r>
      <w:r w:rsidR="00A370FD">
        <w:rPr>
          <w:rFonts w:cs="Arial"/>
          <w:b/>
          <w:u w:val="single"/>
        </w:rPr>
        <w:t>September</w:t>
      </w:r>
      <w:r w:rsidR="00F75220">
        <w:rPr>
          <w:rFonts w:cs="Arial"/>
          <w:b/>
          <w:u w:val="single"/>
        </w:rPr>
        <w:t xml:space="preserve"> 31, 2021</w:t>
      </w:r>
      <w:r w:rsidRPr="007667FD">
        <w:rPr>
          <w:rFonts w:cs="Arial"/>
          <w:b/>
          <w:u w:val="single"/>
        </w:rPr>
        <w:t>: $</w:t>
      </w:r>
      <w:r w:rsidR="000645E1">
        <w:rPr>
          <w:rFonts w:cs="Arial"/>
          <w:b/>
          <w:u w:val="single"/>
        </w:rPr>
        <w:t>38,053,438.46</w:t>
      </w:r>
    </w:p>
    <w:p w:rsidR="007667FD" w:rsidRPr="007667FD" w:rsidRDefault="00F75220" w:rsidP="007667FD">
      <w:pPr>
        <w:rPr>
          <w:rFonts w:cs="Arial"/>
          <w:b/>
          <w:u w:val="single"/>
        </w:rPr>
      </w:pPr>
      <w:r>
        <w:rPr>
          <w:rFonts w:cs="Arial"/>
          <w:b/>
          <w:u w:val="single"/>
        </w:rPr>
        <w:t xml:space="preserve"> </w:t>
      </w:r>
    </w:p>
    <w:p w:rsidR="00BA6C37" w:rsidRDefault="008A29E8" w:rsidP="002E1638">
      <w:pPr>
        <w:rPr>
          <w:rFonts w:cs="Arial"/>
          <w:b/>
          <w:u w:val="single"/>
        </w:rPr>
      </w:pPr>
      <w:r>
        <w:rPr>
          <w:rFonts w:cs="Arial"/>
          <w:b/>
          <w:noProof/>
          <w:u w:val="single"/>
        </w:rPr>
        <w:drawing>
          <wp:inline distT="0" distB="0" distL="0" distR="0">
            <wp:extent cx="6858000" cy="532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5324475"/>
                    </a:xfrm>
                    <a:prstGeom prst="rect">
                      <a:avLst/>
                    </a:prstGeom>
                    <a:noFill/>
                    <a:ln>
                      <a:noFill/>
                    </a:ln>
                  </pic:spPr>
                </pic:pic>
              </a:graphicData>
            </a:graphic>
          </wp:inline>
        </w:drawing>
      </w:r>
    </w:p>
    <w:p w:rsidR="00DC0E58" w:rsidRDefault="00DC0E58" w:rsidP="005E2A35">
      <w:pPr>
        <w:rPr>
          <w:rFonts w:cs="Arial"/>
          <w:bCs/>
          <w:noProof/>
          <w:sz w:val="24"/>
          <w:szCs w:val="24"/>
        </w:rPr>
      </w:pPr>
    </w:p>
    <w:p w:rsidR="00B80A6F" w:rsidRDefault="00B80A6F" w:rsidP="005E2A35">
      <w:pPr>
        <w:rPr>
          <w:rFonts w:cs="Arial"/>
          <w:bCs/>
          <w:noProof/>
          <w:sz w:val="24"/>
          <w:szCs w:val="24"/>
        </w:rPr>
      </w:pPr>
    </w:p>
    <w:p w:rsidR="00B80A6F" w:rsidRDefault="00B80A6F" w:rsidP="005E2A35">
      <w:pPr>
        <w:rPr>
          <w:rFonts w:cs="Arial"/>
          <w:bCs/>
          <w:noProof/>
          <w:sz w:val="24"/>
          <w:szCs w:val="24"/>
        </w:rPr>
      </w:pPr>
    </w:p>
    <w:p w:rsidR="00B80A6F" w:rsidRDefault="0058515F" w:rsidP="005E2A35">
      <w:pPr>
        <w:rPr>
          <w:rFonts w:cs="Arial"/>
          <w:bCs/>
          <w:noProof/>
          <w:sz w:val="24"/>
          <w:szCs w:val="24"/>
        </w:rPr>
      </w:pPr>
      <w:r>
        <w:rPr>
          <w:rFonts w:cs="Arial"/>
          <w:bCs/>
          <w:noProof/>
          <w:sz w:val="24"/>
          <w:szCs w:val="24"/>
        </w:rPr>
        <w:drawing>
          <wp:inline distT="0" distB="0" distL="0" distR="0">
            <wp:extent cx="6858000" cy="6724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6724650"/>
                    </a:xfrm>
                    <a:prstGeom prst="rect">
                      <a:avLst/>
                    </a:prstGeom>
                    <a:noFill/>
                    <a:ln>
                      <a:noFill/>
                    </a:ln>
                  </pic:spPr>
                </pic:pic>
              </a:graphicData>
            </a:graphic>
          </wp:inline>
        </w:drawing>
      </w:r>
    </w:p>
    <w:p w:rsidR="00B80A6F" w:rsidRDefault="00B80A6F" w:rsidP="005E2A35">
      <w:pPr>
        <w:rPr>
          <w:rFonts w:cs="Arial"/>
          <w:bCs/>
          <w:noProof/>
          <w:sz w:val="24"/>
          <w:szCs w:val="24"/>
        </w:rPr>
      </w:pPr>
    </w:p>
    <w:p w:rsidR="00B80A6F" w:rsidRDefault="00B80A6F" w:rsidP="005E2A35">
      <w:pPr>
        <w:rPr>
          <w:rFonts w:cs="Arial"/>
          <w:bCs/>
          <w:noProof/>
          <w:sz w:val="24"/>
          <w:szCs w:val="24"/>
        </w:rPr>
      </w:pPr>
    </w:p>
    <w:p w:rsidR="00B80A6F" w:rsidRDefault="00B80A6F" w:rsidP="005E2A35">
      <w:pPr>
        <w:rPr>
          <w:rFonts w:cs="Arial"/>
          <w:bCs/>
          <w:noProof/>
          <w:sz w:val="24"/>
          <w:szCs w:val="24"/>
        </w:rPr>
      </w:pPr>
    </w:p>
    <w:p w:rsidR="00B80A6F" w:rsidRDefault="00B15FED" w:rsidP="005E2A35">
      <w:pPr>
        <w:rPr>
          <w:rFonts w:cs="Arial"/>
          <w:bCs/>
          <w:noProof/>
          <w:sz w:val="24"/>
          <w:szCs w:val="24"/>
        </w:rPr>
      </w:pPr>
      <w:r>
        <w:rPr>
          <w:rFonts w:cs="Arial"/>
          <w:bCs/>
          <w:noProof/>
          <w:sz w:val="24"/>
          <w:szCs w:val="24"/>
        </w:rPr>
        <w:tab/>
      </w:r>
      <w:r>
        <w:rPr>
          <w:rFonts w:cs="Arial"/>
          <w:bCs/>
          <w:noProof/>
          <w:sz w:val="24"/>
          <w:szCs w:val="24"/>
        </w:rPr>
        <w:tab/>
      </w:r>
    </w:p>
    <w:p w:rsidR="00B80A6F" w:rsidRDefault="00B80A6F" w:rsidP="005E2A35">
      <w:pPr>
        <w:rPr>
          <w:rFonts w:cs="Arial"/>
          <w:bCs/>
          <w:noProof/>
          <w:sz w:val="24"/>
          <w:szCs w:val="24"/>
        </w:rPr>
      </w:pPr>
    </w:p>
    <w:p w:rsidR="00B80A6F" w:rsidRDefault="00B80A6F" w:rsidP="005E2A35">
      <w:pPr>
        <w:rPr>
          <w:rFonts w:cs="Arial"/>
          <w:bCs/>
          <w:noProof/>
          <w:sz w:val="24"/>
          <w:szCs w:val="24"/>
        </w:rPr>
      </w:pPr>
    </w:p>
    <w:p w:rsidR="00156A1D" w:rsidRDefault="0058515F" w:rsidP="00156A1D">
      <w:pPr>
        <w:rPr>
          <w:rFonts w:cs="Arial"/>
          <w:bCs/>
          <w:noProof/>
          <w:sz w:val="24"/>
          <w:szCs w:val="24"/>
        </w:rPr>
      </w:pPr>
      <w:r>
        <w:rPr>
          <w:rFonts w:cs="Arial"/>
          <w:bCs/>
          <w:noProof/>
          <w:sz w:val="24"/>
          <w:szCs w:val="24"/>
        </w:rPr>
        <w:drawing>
          <wp:inline distT="0" distB="0" distL="0" distR="0">
            <wp:extent cx="6858000" cy="742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7429500"/>
                    </a:xfrm>
                    <a:prstGeom prst="rect">
                      <a:avLst/>
                    </a:prstGeom>
                    <a:noFill/>
                    <a:ln>
                      <a:noFill/>
                    </a:ln>
                  </pic:spPr>
                </pic:pic>
              </a:graphicData>
            </a:graphic>
          </wp:inline>
        </w:drawing>
      </w:r>
    </w:p>
    <w:p w:rsidR="00B15FED" w:rsidRDefault="00B15FED" w:rsidP="00156A1D">
      <w:pPr>
        <w:rPr>
          <w:rFonts w:cs="Arial"/>
          <w:bCs/>
          <w:noProof/>
          <w:sz w:val="24"/>
          <w:szCs w:val="24"/>
        </w:rPr>
      </w:pPr>
    </w:p>
    <w:p w:rsidR="00B15FED" w:rsidRDefault="0058515F" w:rsidP="00156A1D">
      <w:pPr>
        <w:rPr>
          <w:rFonts w:cs="Arial"/>
          <w:bCs/>
          <w:noProof/>
          <w:sz w:val="24"/>
          <w:szCs w:val="24"/>
        </w:rPr>
      </w:pPr>
      <w:r>
        <w:rPr>
          <w:rFonts w:cs="Arial"/>
          <w:bCs/>
          <w:noProof/>
          <w:sz w:val="24"/>
          <w:szCs w:val="24"/>
        </w:rPr>
        <w:drawing>
          <wp:inline distT="0" distB="0" distL="0" distR="0">
            <wp:extent cx="6858000" cy="784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848600"/>
                    </a:xfrm>
                    <a:prstGeom prst="rect">
                      <a:avLst/>
                    </a:prstGeom>
                    <a:noFill/>
                    <a:ln>
                      <a:noFill/>
                    </a:ln>
                  </pic:spPr>
                </pic:pic>
              </a:graphicData>
            </a:graphic>
          </wp:inline>
        </w:drawing>
      </w:r>
    </w:p>
    <w:p w:rsidR="00156A1D" w:rsidRDefault="00156A1D" w:rsidP="00156A1D">
      <w:pPr>
        <w:rPr>
          <w:rFonts w:cs="Arial"/>
          <w:bCs/>
          <w:noProof/>
          <w:sz w:val="24"/>
          <w:szCs w:val="24"/>
        </w:rPr>
      </w:pPr>
    </w:p>
    <w:p w:rsidR="00151D5C" w:rsidRDefault="0058515F" w:rsidP="00156A1D">
      <w:pPr>
        <w:rPr>
          <w:rFonts w:cs="Arial"/>
          <w:bCs/>
          <w:noProof/>
          <w:sz w:val="24"/>
          <w:szCs w:val="24"/>
        </w:rPr>
      </w:pPr>
      <w: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GRANT </w:t>
      </w:r>
      <w:r w:rsidR="00156A1D">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SUMMARY</w:t>
      </w:r>
      <w:r>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BY DEPARTMENT</w:t>
      </w:r>
      <w:r w:rsidR="00156A1D">
        <w:rPr>
          <w:b/>
          <w:noProo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B3659F" w:rsidRDefault="00151D5C" w:rsidP="000B5C4E">
      <w:pPr>
        <w:tabs>
          <w:tab w:val="left" w:pos="732"/>
        </w:tabs>
        <w:rPr>
          <w:rFonts w:cs="Arial"/>
          <w:bCs/>
          <w:sz w:val="24"/>
          <w:szCs w:val="24"/>
        </w:rPr>
      </w:pPr>
      <w:r>
        <w:rPr>
          <w:rFonts w:cs="Arial"/>
          <w:bCs/>
          <w:sz w:val="24"/>
          <w:szCs w:val="24"/>
        </w:rPr>
        <w:t xml:space="preserve">                             </w:t>
      </w:r>
    </w:p>
    <w:p w:rsidR="00B3659F" w:rsidRDefault="00B3659F" w:rsidP="000B5C4E">
      <w:pPr>
        <w:tabs>
          <w:tab w:val="left" w:pos="732"/>
        </w:tabs>
        <w:rPr>
          <w:rFonts w:cs="Arial"/>
          <w:bCs/>
          <w:sz w:val="24"/>
          <w:szCs w:val="24"/>
        </w:rPr>
      </w:pPr>
    </w:p>
    <w:p w:rsidR="00B3659F" w:rsidRDefault="0058515F" w:rsidP="0058515F">
      <w:pPr>
        <w:tabs>
          <w:tab w:val="left" w:pos="732"/>
        </w:tabs>
        <w:jc w:val="center"/>
        <w:rPr>
          <w:rFonts w:cs="Arial"/>
          <w:bCs/>
          <w:sz w:val="24"/>
          <w:szCs w:val="24"/>
        </w:rPr>
      </w:pPr>
      <w:r>
        <w:rPr>
          <w:rFonts w:cs="Arial"/>
          <w:bCs/>
          <w:noProof/>
          <w:sz w:val="24"/>
          <w:szCs w:val="24"/>
        </w:rPr>
        <w:drawing>
          <wp:inline distT="0" distB="0" distL="0" distR="0">
            <wp:extent cx="3743325" cy="33791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6663" cy="3391228"/>
                    </a:xfrm>
                    <a:prstGeom prst="rect">
                      <a:avLst/>
                    </a:prstGeom>
                    <a:noFill/>
                    <a:ln>
                      <a:noFill/>
                    </a:ln>
                  </pic:spPr>
                </pic:pic>
              </a:graphicData>
            </a:graphic>
          </wp:inline>
        </w:drawing>
      </w: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B3659F" w:rsidRDefault="00B3659F" w:rsidP="000B5C4E">
      <w:pPr>
        <w:tabs>
          <w:tab w:val="left" w:pos="732"/>
        </w:tabs>
        <w:rPr>
          <w:rFonts w:cs="Arial"/>
          <w:bCs/>
          <w:sz w:val="24"/>
          <w:szCs w:val="24"/>
        </w:rPr>
      </w:pPr>
    </w:p>
    <w:p w:rsidR="00517297" w:rsidRDefault="004F4DE7" w:rsidP="002460EF">
      <w:pPr>
        <w:rPr>
          <w:noProof/>
        </w:rPr>
      </w:pPr>
      <w:r>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r w:rsidR="002460EF">
        <w:rPr>
          <w:rFonts w:cs="Arial"/>
          <w:bCs/>
          <w:sz w:val="24"/>
          <w:szCs w:val="24"/>
        </w:rPr>
        <w:tab/>
      </w:r>
    </w:p>
    <w:p w:rsidR="00D46D88" w:rsidRPr="00517297" w:rsidRDefault="0060312F" w:rsidP="006917BC">
      <w:pPr>
        <w:jc w:val="center"/>
        <w:rPr>
          <w:b/>
          <w:i/>
          <w:color w:val="0070C0"/>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noProof/>
        </w:rPr>
        <w:drawing>
          <wp:inline distT="0" distB="0" distL="0" distR="0" wp14:anchorId="29D87446" wp14:editId="4AAB09A5">
            <wp:extent cx="4038600" cy="2697659"/>
            <wp:effectExtent l="0" t="0" r="0" b="7620"/>
            <wp:docPr id="2" name="Picture 2" descr="https://www.masslive.com/resizer/h8VCzLjkm_Iasqs9aGbQxmgHcLg=/1280x0/smart/advancelocal-adapter-image-uploads.s3.amazonaws.com/expo.advance.net/img/a3ded7d287/width2048/341_mgm_openin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sslive.com/resizer/h8VCzLjkm_Iasqs9aGbQxmgHcLg=/1280x0/smart/advancelocal-adapter-image-uploads.s3.amazonaws.com/expo.advance.net/img/a3ded7d287/width2048/341_mgm_opening_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7781" cy="2703791"/>
                    </a:xfrm>
                    <a:prstGeom prst="rect">
                      <a:avLst/>
                    </a:prstGeom>
                    <a:noFill/>
                    <a:ln>
                      <a:noFill/>
                    </a:ln>
                  </pic:spPr>
                </pic:pic>
              </a:graphicData>
            </a:graphic>
          </wp:inline>
        </w:drawing>
      </w:r>
    </w:p>
    <w:p w:rsidR="002A3A5B" w:rsidRDefault="002A3A5B" w:rsidP="006917BC">
      <w:pPr>
        <w:jc w:val="center"/>
        <w:rPr>
          <w:b/>
          <w:i/>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12F" w:rsidRDefault="0060312F" w:rsidP="006917BC">
      <w:pPr>
        <w:jc w:val="center"/>
        <w:rPr>
          <w:b/>
          <w:i/>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i/>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MGM Downtown </w:t>
      </w:r>
    </w:p>
    <w:p w:rsidR="002A3A5B" w:rsidRPr="002A3A5B" w:rsidRDefault="00852E40" w:rsidP="006917BC">
      <w:pPr>
        <w:jc w:val="center"/>
        <w:rPr>
          <w:b/>
          <w:i/>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i/>
          <w:color w:val="0070C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Springfield, Ma.</w:t>
      </w:r>
    </w:p>
    <w:p w:rsidR="00D46D88" w:rsidRDefault="00A35E7F" w:rsidP="00D46D88">
      <w:pPr>
        <w:jc w:val="center"/>
        <w:rPr>
          <w:rFonts w:ascii="Calibri" w:hAnsi="Calibri" w:cs="Calibri"/>
          <w:b/>
          <w:bCs/>
          <w:i/>
          <w:color w:val="000000"/>
        </w:rPr>
      </w:pPr>
      <w:r>
        <w:rPr>
          <w:rFonts w:ascii="Calibri" w:hAnsi="Calibri" w:cs="Calibri"/>
          <w:b/>
          <w:bCs/>
          <w:i/>
          <w:color w:val="000000"/>
        </w:rPr>
        <w:t xml:space="preserve"> </w:t>
      </w:r>
    </w:p>
    <w:p w:rsidR="00517297" w:rsidRPr="00462B0D" w:rsidRDefault="00517297" w:rsidP="00462B0D">
      <w:r>
        <w:rPr>
          <w:b/>
          <w:bCs/>
          <w:noProof/>
          <w:color w:val="717171"/>
          <w:sz w:val="17"/>
          <w:szCs w:val="17"/>
          <w:shd w:val="clear" w:color="auto" w:fill="758890"/>
        </w:rPr>
        <w:t xml:space="preserve">                                           </w:t>
      </w:r>
      <w:r w:rsidR="00462B0D">
        <w:rPr>
          <w:b/>
          <w:bCs/>
          <w:noProof/>
          <w:color w:val="717171"/>
          <w:sz w:val="17"/>
          <w:szCs w:val="17"/>
          <w:shd w:val="clear" w:color="auto" w:fill="758890"/>
        </w:rPr>
        <w:t xml:space="preserve">                         </w:t>
      </w:r>
    </w:p>
    <w:sectPr w:rsidR="00517297" w:rsidRPr="00462B0D" w:rsidSect="001C738C">
      <w:headerReference w:type="default" r:id="rId30"/>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65C" w:rsidRDefault="003F065C" w:rsidP="00095C81">
      <w:r>
        <w:separator/>
      </w:r>
    </w:p>
  </w:endnote>
  <w:endnote w:type="continuationSeparator" w:id="0">
    <w:p w:rsidR="003F065C" w:rsidRDefault="003F065C" w:rsidP="00095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021929"/>
      <w:docPartObj>
        <w:docPartGallery w:val="Page Numbers (Bottom of Page)"/>
        <w:docPartUnique/>
      </w:docPartObj>
    </w:sdtPr>
    <w:sdtEndPr>
      <w:rPr>
        <w:color w:val="808080" w:themeColor="background1" w:themeShade="80"/>
        <w:spacing w:val="60"/>
      </w:rPr>
    </w:sdtEndPr>
    <w:sdtContent>
      <w:p w:rsidR="00BA788B" w:rsidRDefault="00BA788B">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24C9">
          <w:rPr>
            <w:noProof/>
          </w:rPr>
          <w:t>1</w:t>
        </w:r>
        <w:r>
          <w:rPr>
            <w:noProof/>
          </w:rPr>
          <w:fldChar w:fldCharType="end"/>
        </w:r>
        <w:r>
          <w:t xml:space="preserve"> | </w:t>
        </w:r>
        <w:r>
          <w:rPr>
            <w:color w:val="808080" w:themeColor="background1" w:themeShade="80"/>
            <w:spacing w:val="60"/>
          </w:rPr>
          <w:t>Page</w:t>
        </w:r>
      </w:p>
    </w:sdtContent>
  </w:sdt>
  <w:p w:rsidR="00BA788B" w:rsidRDefault="00BA78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65C" w:rsidRDefault="003F065C" w:rsidP="00095C81">
      <w:r>
        <w:separator/>
      </w:r>
    </w:p>
  </w:footnote>
  <w:footnote w:type="continuationSeparator" w:id="0">
    <w:p w:rsidR="003F065C" w:rsidRDefault="003F065C" w:rsidP="00095C81">
      <w:r>
        <w:continuationSeparator/>
      </w:r>
    </w:p>
  </w:footnote>
  <w:footnote w:id="1">
    <w:p w:rsidR="00BA788B" w:rsidRDefault="00BA788B" w:rsidP="002E1638">
      <w:pPr>
        <w:pStyle w:val="FootnoteText"/>
        <w:rPr>
          <w:sz w:val="19"/>
          <w:szCs w:val="19"/>
        </w:rPr>
      </w:pPr>
      <w:r>
        <w:rPr>
          <w:rStyle w:val="FootnoteReference"/>
          <w:sz w:val="19"/>
          <w:szCs w:val="19"/>
        </w:rPr>
        <w:footnoteRef/>
      </w:r>
      <w:r>
        <w:rPr>
          <w:sz w:val="19"/>
          <w:szCs w:val="19"/>
        </w:rPr>
        <w:t xml:space="preserve"> Does not include the Springfield Public Schools (SPS)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F4B" w:rsidRDefault="005D1F4B">
    <w:pPr>
      <w:pStyle w:val="Header"/>
      <w:tabs>
        <w:tab w:val="left" w:pos="2580"/>
        <w:tab w:val="left" w:pos="2985"/>
      </w:tabs>
      <w:spacing w:after="120" w:line="276" w:lineRule="auto"/>
      <w:jc w:val="right"/>
      <w:rPr>
        <w:bCs/>
        <w:i/>
        <w:color w:val="1F497D" w:themeColor="text2"/>
        <w:szCs w:val="28"/>
      </w:rPr>
    </w:pPr>
  </w:p>
  <w:sdt>
    <w:sdtPr>
      <w:rPr>
        <w:i/>
        <w:color w:val="4F81BD" w:themeColor="accent1"/>
      </w:rPr>
      <w:alias w:val="Subtitle"/>
      <w:id w:val="77887903"/>
      <w:placeholder>
        <w:docPart w:val="7733A83A0268451A912DFD482A65A440"/>
      </w:placeholder>
      <w:dataBinding w:prefixMappings="xmlns:ns0='http://schemas.openxmlformats.org/package/2006/metadata/core-properties' xmlns:ns1='http://purl.org/dc/elements/1.1/'" w:xpath="/ns0:coreProperties[1]/ns1:subject[1]" w:storeItemID="{6C3C8BC8-F283-45AE-878A-BAB7291924A1}"/>
      <w:text/>
    </w:sdtPr>
    <w:sdtEndPr/>
    <w:sdtContent>
      <w:p w:rsidR="00BA788B" w:rsidRPr="00095C81" w:rsidRDefault="00101C18">
        <w:pPr>
          <w:pStyle w:val="Header"/>
          <w:tabs>
            <w:tab w:val="left" w:pos="2580"/>
            <w:tab w:val="left" w:pos="2985"/>
          </w:tabs>
          <w:spacing w:after="120" w:line="276" w:lineRule="auto"/>
          <w:jc w:val="right"/>
          <w:rPr>
            <w:i/>
            <w:color w:val="4F81BD" w:themeColor="accent1"/>
          </w:rPr>
        </w:pPr>
        <w:r>
          <w:rPr>
            <w:i/>
            <w:color w:val="4F81BD" w:themeColor="accent1"/>
          </w:rPr>
          <w:t>Quarterly</w:t>
        </w:r>
        <w:r w:rsidR="00BA788B" w:rsidRPr="00095C81">
          <w:rPr>
            <w:i/>
            <w:color w:val="4F81BD" w:themeColor="accent1"/>
          </w:rPr>
          <w:t xml:space="preserve"> Financial Report</w:t>
        </w:r>
      </w:p>
    </w:sdtContent>
  </w:sdt>
  <w:sdt>
    <w:sdtPr>
      <w:rPr>
        <w:i/>
        <w:color w:val="7F7F7F" w:themeColor="text1" w:themeTint="80"/>
      </w:rPr>
      <w:alias w:val="Author"/>
      <w:id w:val="77887908"/>
      <w:placeholder>
        <w:docPart w:val="AAD1FA01D59D4EB094503C3DE823E78E"/>
      </w:placeholder>
      <w:dataBinding w:prefixMappings="xmlns:ns0='http://schemas.openxmlformats.org/package/2006/metadata/core-properties' xmlns:ns1='http://purl.org/dc/elements/1.1/'" w:xpath="/ns0:coreProperties[1]/ns1:creator[1]" w:storeItemID="{6C3C8BC8-F283-45AE-878A-BAB7291924A1}"/>
      <w:text/>
    </w:sdtPr>
    <w:sdtEndPr/>
    <w:sdtContent>
      <w:p w:rsidR="00BA788B" w:rsidRDefault="00A370FD">
        <w:pPr>
          <w:pStyle w:val="Header"/>
          <w:pBdr>
            <w:bottom w:val="single" w:sz="4" w:space="1" w:color="A5A5A5" w:themeColor="background1" w:themeShade="A5"/>
          </w:pBdr>
          <w:tabs>
            <w:tab w:val="left" w:pos="2580"/>
            <w:tab w:val="left" w:pos="2985"/>
          </w:tabs>
          <w:spacing w:after="120" w:line="276" w:lineRule="auto"/>
          <w:jc w:val="right"/>
          <w:rPr>
            <w:color w:val="7F7F7F" w:themeColor="text1" w:themeTint="80"/>
          </w:rPr>
        </w:pPr>
        <w:r>
          <w:rPr>
            <w:i/>
            <w:color w:val="7F7F7F" w:themeColor="text1" w:themeTint="80"/>
          </w:rPr>
          <w:t>As of 09/30</w:t>
        </w:r>
        <w:r w:rsidR="005D1F4B">
          <w:rPr>
            <w:i/>
            <w:color w:val="7F7F7F" w:themeColor="text1" w:themeTint="80"/>
          </w:rPr>
          <w:t>/2021</w:t>
        </w:r>
      </w:p>
    </w:sdtContent>
  </w:sdt>
  <w:p w:rsidR="00BA788B" w:rsidRDefault="00BA7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108DD"/>
    <w:multiLevelType w:val="hybridMultilevel"/>
    <w:tmpl w:val="8C46D7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C3034"/>
    <w:multiLevelType w:val="hybridMultilevel"/>
    <w:tmpl w:val="5A2CD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6E64A2"/>
    <w:multiLevelType w:val="hybridMultilevel"/>
    <w:tmpl w:val="08A63EBC"/>
    <w:lvl w:ilvl="0" w:tplc="3D00748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3" w15:restartNumberingAfterBreak="0">
    <w:nsid w:val="78B760ED"/>
    <w:multiLevelType w:val="hybridMultilevel"/>
    <w:tmpl w:val="71E25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8A146E"/>
    <w:multiLevelType w:val="hybridMultilevel"/>
    <w:tmpl w:val="E1F89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7453DC"/>
    <w:multiLevelType w:val="hybridMultilevel"/>
    <w:tmpl w:val="208CE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AC8"/>
    <w:rsid w:val="00001220"/>
    <w:rsid w:val="00003490"/>
    <w:rsid w:val="000039D1"/>
    <w:rsid w:val="00011391"/>
    <w:rsid w:val="000113A7"/>
    <w:rsid w:val="0001220A"/>
    <w:rsid w:val="00013111"/>
    <w:rsid w:val="000162A2"/>
    <w:rsid w:val="00030EFE"/>
    <w:rsid w:val="0003389C"/>
    <w:rsid w:val="00035872"/>
    <w:rsid w:val="00036805"/>
    <w:rsid w:val="00041D35"/>
    <w:rsid w:val="00045E8A"/>
    <w:rsid w:val="00047053"/>
    <w:rsid w:val="00051910"/>
    <w:rsid w:val="00055550"/>
    <w:rsid w:val="00056A16"/>
    <w:rsid w:val="000645E1"/>
    <w:rsid w:val="00064942"/>
    <w:rsid w:val="000651DD"/>
    <w:rsid w:val="00067337"/>
    <w:rsid w:val="00081FB4"/>
    <w:rsid w:val="00084B86"/>
    <w:rsid w:val="00090913"/>
    <w:rsid w:val="00091B5C"/>
    <w:rsid w:val="00094ED9"/>
    <w:rsid w:val="00095C81"/>
    <w:rsid w:val="00097383"/>
    <w:rsid w:val="000A22EC"/>
    <w:rsid w:val="000A630C"/>
    <w:rsid w:val="000B2174"/>
    <w:rsid w:val="000B5C4E"/>
    <w:rsid w:val="000C115C"/>
    <w:rsid w:val="000C77E5"/>
    <w:rsid w:val="000D0174"/>
    <w:rsid w:val="000E0FA2"/>
    <w:rsid w:val="000E1150"/>
    <w:rsid w:val="000E44FE"/>
    <w:rsid w:val="000F2C7F"/>
    <w:rsid w:val="000F5E80"/>
    <w:rsid w:val="00101C18"/>
    <w:rsid w:val="00103B34"/>
    <w:rsid w:val="00106D33"/>
    <w:rsid w:val="00123608"/>
    <w:rsid w:val="00124E73"/>
    <w:rsid w:val="00130718"/>
    <w:rsid w:val="00143281"/>
    <w:rsid w:val="00144D5B"/>
    <w:rsid w:val="00151B8D"/>
    <w:rsid w:val="00151D5C"/>
    <w:rsid w:val="00153F0A"/>
    <w:rsid w:val="00154747"/>
    <w:rsid w:val="001553DD"/>
    <w:rsid w:val="00155B9A"/>
    <w:rsid w:val="00156A1D"/>
    <w:rsid w:val="0016622B"/>
    <w:rsid w:val="0016682D"/>
    <w:rsid w:val="00166D2A"/>
    <w:rsid w:val="0017633B"/>
    <w:rsid w:val="001767AB"/>
    <w:rsid w:val="00181525"/>
    <w:rsid w:val="00182ED7"/>
    <w:rsid w:val="00186A97"/>
    <w:rsid w:val="0019300B"/>
    <w:rsid w:val="001A1D21"/>
    <w:rsid w:val="001A366A"/>
    <w:rsid w:val="001A38D9"/>
    <w:rsid w:val="001A3992"/>
    <w:rsid w:val="001B00CF"/>
    <w:rsid w:val="001B66D9"/>
    <w:rsid w:val="001C6917"/>
    <w:rsid w:val="001C738C"/>
    <w:rsid w:val="001D0134"/>
    <w:rsid w:val="001D1EBC"/>
    <w:rsid w:val="001D38EC"/>
    <w:rsid w:val="001D6C14"/>
    <w:rsid w:val="001E4792"/>
    <w:rsid w:val="001F0B7E"/>
    <w:rsid w:val="001F1F93"/>
    <w:rsid w:val="001F497F"/>
    <w:rsid w:val="00200CDE"/>
    <w:rsid w:val="00201A2F"/>
    <w:rsid w:val="00203A41"/>
    <w:rsid w:val="00204B9E"/>
    <w:rsid w:val="002058B5"/>
    <w:rsid w:val="00207698"/>
    <w:rsid w:val="00224A1B"/>
    <w:rsid w:val="00235BCA"/>
    <w:rsid w:val="00240084"/>
    <w:rsid w:val="002460EF"/>
    <w:rsid w:val="002472F5"/>
    <w:rsid w:val="002477FD"/>
    <w:rsid w:val="00250C6C"/>
    <w:rsid w:val="00252F70"/>
    <w:rsid w:val="00252F95"/>
    <w:rsid w:val="00255E4A"/>
    <w:rsid w:val="00263F5A"/>
    <w:rsid w:val="00273BDF"/>
    <w:rsid w:val="002762F7"/>
    <w:rsid w:val="00277CA8"/>
    <w:rsid w:val="0028266E"/>
    <w:rsid w:val="0028419A"/>
    <w:rsid w:val="00294877"/>
    <w:rsid w:val="00294FF7"/>
    <w:rsid w:val="002A3A5B"/>
    <w:rsid w:val="002B0486"/>
    <w:rsid w:val="002B1530"/>
    <w:rsid w:val="002C222D"/>
    <w:rsid w:val="002C4B1E"/>
    <w:rsid w:val="002C70F1"/>
    <w:rsid w:val="002C7626"/>
    <w:rsid w:val="002D7748"/>
    <w:rsid w:val="002E1638"/>
    <w:rsid w:val="002E1836"/>
    <w:rsid w:val="002F16D8"/>
    <w:rsid w:val="002F62C9"/>
    <w:rsid w:val="00305404"/>
    <w:rsid w:val="0030691E"/>
    <w:rsid w:val="00312819"/>
    <w:rsid w:val="00322DC2"/>
    <w:rsid w:val="0033086D"/>
    <w:rsid w:val="00332861"/>
    <w:rsid w:val="0034137E"/>
    <w:rsid w:val="003437B4"/>
    <w:rsid w:val="0034419D"/>
    <w:rsid w:val="0034460C"/>
    <w:rsid w:val="00347932"/>
    <w:rsid w:val="003523C8"/>
    <w:rsid w:val="00357C95"/>
    <w:rsid w:val="003663F9"/>
    <w:rsid w:val="003801EE"/>
    <w:rsid w:val="003834F9"/>
    <w:rsid w:val="0039348D"/>
    <w:rsid w:val="0039393B"/>
    <w:rsid w:val="003B4FBB"/>
    <w:rsid w:val="003B618D"/>
    <w:rsid w:val="003B7569"/>
    <w:rsid w:val="003C06B3"/>
    <w:rsid w:val="003C0720"/>
    <w:rsid w:val="003C3239"/>
    <w:rsid w:val="003C4A41"/>
    <w:rsid w:val="003C7EAC"/>
    <w:rsid w:val="003D0499"/>
    <w:rsid w:val="003D5E09"/>
    <w:rsid w:val="003D79DE"/>
    <w:rsid w:val="003E42D7"/>
    <w:rsid w:val="003F04CC"/>
    <w:rsid w:val="003F065C"/>
    <w:rsid w:val="003F1CBA"/>
    <w:rsid w:val="00403C8F"/>
    <w:rsid w:val="0040777B"/>
    <w:rsid w:val="00407949"/>
    <w:rsid w:val="0041113B"/>
    <w:rsid w:val="004126BE"/>
    <w:rsid w:val="00413173"/>
    <w:rsid w:val="004134DE"/>
    <w:rsid w:val="0041366E"/>
    <w:rsid w:val="00416340"/>
    <w:rsid w:val="004167CC"/>
    <w:rsid w:val="00417EEA"/>
    <w:rsid w:val="0042021B"/>
    <w:rsid w:val="00420A08"/>
    <w:rsid w:val="00425A5E"/>
    <w:rsid w:val="004332D7"/>
    <w:rsid w:val="0043715D"/>
    <w:rsid w:val="00437F82"/>
    <w:rsid w:val="00443B6D"/>
    <w:rsid w:val="00447E8F"/>
    <w:rsid w:val="0045154A"/>
    <w:rsid w:val="004622BD"/>
    <w:rsid w:val="00462B0D"/>
    <w:rsid w:val="00463A4C"/>
    <w:rsid w:val="00471C8B"/>
    <w:rsid w:val="00477361"/>
    <w:rsid w:val="004848AA"/>
    <w:rsid w:val="00485D0B"/>
    <w:rsid w:val="00496A32"/>
    <w:rsid w:val="004A0984"/>
    <w:rsid w:val="004B06FE"/>
    <w:rsid w:val="004B4990"/>
    <w:rsid w:val="004C0536"/>
    <w:rsid w:val="004C3A9B"/>
    <w:rsid w:val="004D084B"/>
    <w:rsid w:val="004D0DEF"/>
    <w:rsid w:val="004E2FC1"/>
    <w:rsid w:val="004E3A7F"/>
    <w:rsid w:val="004F12A3"/>
    <w:rsid w:val="004F3D15"/>
    <w:rsid w:val="004F4DE7"/>
    <w:rsid w:val="005121E9"/>
    <w:rsid w:val="00512CA8"/>
    <w:rsid w:val="00517297"/>
    <w:rsid w:val="00521CA4"/>
    <w:rsid w:val="005236E1"/>
    <w:rsid w:val="00541C69"/>
    <w:rsid w:val="00542BFF"/>
    <w:rsid w:val="005431FF"/>
    <w:rsid w:val="00550493"/>
    <w:rsid w:val="0055139D"/>
    <w:rsid w:val="00552389"/>
    <w:rsid w:val="00553EBF"/>
    <w:rsid w:val="005548B8"/>
    <w:rsid w:val="005562D3"/>
    <w:rsid w:val="005571C0"/>
    <w:rsid w:val="00560F2F"/>
    <w:rsid w:val="005616BA"/>
    <w:rsid w:val="00565478"/>
    <w:rsid w:val="00565DA7"/>
    <w:rsid w:val="00566A3D"/>
    <w:rsid w:val="00571A93"/>
    <w:rsid w:val="00573245"/>
    <w:rsid w:val="005830A2"/>
    <w:rsid w:val="0058515F"/>
    <w:rsid w:val="00585222"/>
    <w:rsid w:val="0058558D"/>
    <w:rsid w:val="005A45D9"/>
    <w:rsid w:val="005D0338"/>
    <w:rsid w:val="005D1F4B"/>
    <w:rsid w:val="005D44F4"/>
    <w:rsid w:val="005D75E1"/>
    <w:rsid w:val="005E202D"/>
    <w:rsid w:val="005E2A35"/>
    <w:rsid w:val="005F1198"/>
    <w:rsid w:val="005F5F99"/>
    <w:rsid w:val="00602D18"/>
    <w:rsid w:val="00602FF9"/>
    <w:rsid w:val="0060312F"/>
    <w:rsid w:val="00604A01"/>
    <w:rsid w:val="00611AF7"/>
    <w:rsid w:val="006170A7"/>
    <w:rsid w:val="00617EA4"/>
    <w:rsid w:val="00627654"/>
    <w:rsid w:val="006334BF"/>
    <w:rsid w:val="0065035F"/>
    <w:rsid w:val="00650B8F"/>
    <w:rsid w:val="00652408"/>
    <w:rsid w:val="006533E5"/>
    <w:rsid w:val="0065695A"/>
    <w:rsid w:val="00657193"/>
    <w:rsid w:val="00660106"/>
    <w:rsid w:val="00671741"/>
    <w:rsid w:val="00675706"/>
    <w:rsid w:val="00677DE5"/>
    <w:rsid w:val="006822A3"/>
    <w:rsid w:val="00682DDB"/>
    <w:rsid w:val="006917BC"/>
    <w:rsid w:val="006955DB"/>
    <w:rsid w:val="00695810"/>
    <w:rsid w:val="006A48D7"/>
    <w:rsid w:val="006B069C"/>
    <w:rsid w:val="006B361A"/>
    <w:rsid w:val="006B6E6A"/>
    <w:rsid w:val="006C2677"/>
    <w:rsid w:val="006C417F"/>
    <w:rsid w:val="006C7B05"/>
    <w:rsid w:val="006E45AA"/>
    <w:rsid w:val="006E708E"/>
    <w:rsid w:val="006E7FA7"/>
    <w:rsid w:val="006F480A"/>
    <w:rsid w:val="006F66B7"/>
    <w:rsid w:val="007029B7"/>
    <w:rsid w:val="00710A33"/>
    <w:rsid w:val="0071682F"/>
    <w:rsid w:val="00716F47"/>
    <w:rsid w:val="0071747D"/>
    <w:rsid w:val="0072224A"/>
    <w:rsid w:val="00731756"/>
    <w:rsid w:val="0073552F"/>
    <w:rsid w:val="007374A8"/>
    <w:rsid w:val="0075213A"/>
    <w:rsid w:val="00756FD7"/>
    <w:rsid w:val="007667FD"/>
    <w:rsid w:val="00780755"/>
    <w:rsid w:val="007958F7"/>
    <w:rsid w:val="007A1752"/>
    <w:rsid w:val="007B0F8B"/>
    <w:rsid w:val="007D09D1"/>
    <w:rsid w:val="007D22FD"/>
    <w:rsid w:val="007D29B7"/>
    <w:rsid w:val="007D3963"/>
    <w:rsid w:val="007E7D2B"/>
    <w:rsid w:val="007F04DF"/>
    <w:rsid w:val="007F44F0"/>
    <w:rsid w:val="007F53C8"/>
    <w:rsid w:val="007F53D8"/>
    <w:rsid w:val="007F7CB7"/>
    <w:rsid w:val="0080113C"/>
    <w:rsid w:val="008022A3"/>
    <w:rsid w:val="00805C14"/>
    <w:rsid w:val="0081014E"/>
    <w:rsid w:val="008138F4"/>
    <w:rsid w:val="008148AB"/>
    <w:rsid w:val="008173F2"/>
    <w:rsid w:val="00823E45"/>
    <w:rsid w:val="00830ECF"/>
    <w:rsid w:val="00831999"/>
    <w:rsid w:val="00844229"/>
    <w:rsid w:val="00851C7C"/>
    <w:rsid w:val="00852337"/>
    <w:rsid w:val="00852A65"/>
    <w:rsid w:val="00852E40"/>
    <w:rsid w:val="0085415E"/>
    <w:rsid w:val="008542CB"/>
    <w:rsid w:val="008623D9"/>
    <w:rsid w:val="00862682"/>
    <w:rsid w:val="00862B8E"/>
    <w:rsid w:val="008645BE"/>
    <w:rsid w:val="008711B3"/>
    <w:rsid w:val="00873F01"/>
    <w:rsid w:val="00876F76"/>
    <w:rsid w:val="0088171C"/>
    <w:rsid w:val="00881E15"/>
    <w:rsid w:val="00883D4B"/>
    <w:rsid w:val="008857DF"/>
    <w:rsid w:val="00893016"/>
    <w:rsid w:val="0089571A"/>
    <w:rsid w:val="008A29E8"/>
    <w:rsid w:val="008A32E0"/>
    <w:rsid w:val="008B56A3"/>
    <w:rsid w:val="008B570B"/>
    <w:rsid w:val="008C2D05"/>
    <w:rsid w:val="008C2EE2"/>
    <w:rsid w:val="008D6802"/>
    <w:rsid w:val="008E1298"/>
    <w:rsid w:val="008E5680"/>
    <w:rsid w:val="008E6AC8"/>
    <w:rsid w:val="008F08B5"/>
    <w:rsid w:val="008F1FE1"/>
    <w:rsid w:val="008F2E6B"/>
    <w:rsid w:val="008F3B24"/>
    <w:rsid w:val="008F51B8"/>
    <w:rsid w:val="0090237C"/>
    <w:rsid w:val="009066F6"/>
    <w:rsid w:val="009076E6"/>
    <w:rsid w:val="00911EE7"/>
    <w:rsid w:val="00921A97"/>
    <w:rsid w:val="00926113"/>
    <w:rsid w:val="009446C7"/>
    <w:rsid w:val="00947448"/>
    <w:rsid w:val="009478C7"/>
    <w:rsid w:val="009565EB"/>
    <w:rsid w:val="00961220"/>
    <w:rsid w:val="0096172F"/>
    <w:rsid w:val="00966188"/>
    <w:rsid w:val="00982E93"/>
    <w:rsid w:val="00992F57"/>
    <w:rsid w:val="00995087"/>
    <w:rsid w:val="00996266"/>
    <w:rsid w:val="009976BB"/>
    <w:rsid w:val="009A0EA0"/>
    <w:rsid w:val="009B1E25"/>
    <w:rsid w:val="009D1C84"/>
    <w:rsid w:val="009D5E33"/>
    <w:rsid w:val="009E192B"/>
    <w:rsid w:val="009E2BA4"/>
    <w:rsid w:val="009E6885"/>
    <w:rsid w:val="009F1339"/>
    <w:rsid w:val="009F1D86"/>
    <w:rsid w:val="009F26DF"/>
    <w:rsid w:val="009F57F5"/>
    <w:rsid w:val="00A03F8B"/>
    <w:rsid w:val="00A16579"/>
    <w:rsid w:val="00A175C0"/>
    <w:rsid w:val="00A35E7F"/>
    <w:rsid w:val="00A370FD"/>
    <w:rsid w:val="00A40C0F"/>
    <w:rsid w:val="00A4312C"/>
    <w:rsid w:val="00A455B4"/>
    <w:rsid w:val="00A47527"/>
    <w:rsid w:val="00A47547"/>
    <w:rsid w:val="00A5250B"/>
    <w:rsid w:val="00A849F2"/>
    <w:rsid w:val="00A9303E"/>
    <w:rsid w:val="00A96101"/>
    <w:rsid w:val="00A97672"/>
    <w:rsid w:val="00AB1156"/>
    <w:rsid w:val="00AB542D"/>
    <w:rsid w:val="00AB5FFE"/>
    <w:rsid w:val="00AC2224"/>
    <w:rsid w:val="00AC5E0F"/>
    <w:rsid w:val="00AD180C"/>
    <w:rsid w:val="00AD441F"/>
    <w:rsid w:val="00AD65B0"/>
    <w:rsid w:val="00AD7A8D"/>
    <w:rsid w:val="00AE56FA"/>
    <w:rsid w:val="00AE62C5"/>
    <w:rsid w:val="00AF069E"/>
    <w:rsid w:val="00AF562A"/>
    <w:rsid w:val="00B05A49"/>
    <w:rsid w:val="00B07C74"/>
    <w:rsid w:val="00B15FED"/>
    <w:rsid w:val="00B162C4"/>
    <w:rsid w:val="00B17EAE"/>
    <w:rsid w:val="00B208F6"/>
    <w:rsid w:val="00B250B0"/>
    <w:rsid w:val="00B34565"/>
    <w:rsid w:val="00B35522"/>
    <w:rsid w:val="00B35E22"/>
    <w:rsid w:val="00B361B5"/>
    <w:rsid w:val="00B3659F"/>
    <w:rsid w:val="00B40AF5"/>
    <w:rsid w:val="00B424C9"/>
    <w:rsid w:val="00B45458"/>
    <w:rsid w:val="00B45E3E"/>
    <w:rsid w:val="00B5387B"/>
    <w:rsid w:val="00B54382"/>
    <w:rsid w:val="00B56BF5"/>
    <w:rsid w:val="00B639C8"/>
    <w:rsid w:val="00B640FC"/>
    <w:rsid w:val="00B6536D"/>
    <w:rsid w:val="00B7171C"/>
    <w:rsid w:val="00B730C0"/>
    <w:rsid w:val="00B80A6F"/>
    <w:rsid w:val="00B84B28"/>
    <w:rsid w:val="00BA0885"/>
    <w:rsid w:val="00BA0EF3"/>
    <w:rsid w:val="00BA4227"/>
    <w:rsid w:val="00BA6C37"/>
    <w:rsid w:val="00BA788B"/>
    <w:rsid w:val="00BB1845"/>
    <w:rsid w:val="00BB2C08"/>
    <w:rsid w:val="00BB3789"/>
    <w:rsid w:val="00BB628D"/>
    <w:rsid w:val="00BC1653"/>
    <w:rsid w:val="00BC7262"/>
    <w:rsid w:val="00BD69E3"/>
    <w:rsid w:val="00BF01CE"/>
    <w:rsid w:val="00C01C49"/>
    <w:rsid w:val="00C227E7"/>
    <w:rsid w:val="00C30073"/>
    <w:rsid w:val="00C32DC3"/>
    <w:rsid w:val="00C3465E"/>
    <w:rsid w:val="00C42781"/>
    <w:rsid w:val="00C43E26"/>
    <w:rsid w:val="00C51674"/>
    <w:rsid w:val="00C538A8"/>
    <w:rsid w:val="00C53954"/>
    <w:rsid w:val="00C562C9"/>
    <w:rsid w:val="00C62076"/>
    <w:rsid w:val="00C62D73"/>
    <w:rsid w:val="00C706AC"/>
    <w:rsid w:val="00C7505E"/>
    <w:rsid w:val="00C80669"/>
    <w:rsid w:val="00C82357"/>
    <w:rsid w:val="00C912C5"/>
    <w:rsid w:val="00C94920"/>
    <w:rsid w:val="00C94D32"/>
    <w:rsid w:val="00CC47B3"/>
    <w:rsid w:val="00CD034D"/>
    <w:rsid w:val="00CD355A"/>
    <w:rsid w:val="00CE30A8"/>
    <w:rsid w:val="00CE71F2"/>
    <w:rsid w:val="00CF50DE"/>
    <w:rsid w:val="00CF5967"/>
    <w:rsid w:val="00D025DF"/>
    <w:rsid w:val="00D05840"/>
    <w:rsid w:val="00D07CB6"/>
    <w:rsid w:val="00D1349E"/>
    <w:rsid w:val="00D14BB8"/>
    <w:rsid w:val="00D16EC9"/>
    <w:rsid w:val="00D2397F"/>
    <w:rsid w:val="00D3024F"/>
    <w:rsid w:val="00D342A1"/>
    <w:rsid w:val="00D37A23"/>
    <w:rsid w:val="00D4076B"/>
    <w:rsid w:val="00D40B79"/>
    <w:rsid w:val="00D46D88"/>
    <w:rsid w:val="00D47197"/>
    <w:rsid w:val="00D51FF7"/>
    <w:rsid w:val="00D53C87"/>
    <w:rsid w:val="00D60B62"/>
    <w:rsid w:val="00D639D9"/>
    <w:rsid w:val="00D667C7"/>
    <w:rsid w:val="00D70A3D"/>
    <w:rsid w:val="00D80C76"/>
    <w:rsid w:val="00D84836"/>
    <w:rsid w:val="00D900A0"/>
    <w:rsid w:val="00DA6D05"/>
    <w:rsid w:val="00DA705D"/>
    <w:rsid w:val="00DA7416"/>
    <w:rsid w:val="00DA7741"/>
    <w:rsid w:val="00DB1A75"/>
    <w:rsid w:val="00DB3967"/>
    <w:rsid w:val="00DB73A0"/>
    <w:rsid w:val="00DC0E58"/>
    <w:rsid w:val="00DC1A60"/>
    <w:rsid w:val="00DC3A1D"/>
    <w:rsid w:val="00DC4C0D"/>
    <w:rsid w:val="00DD0F17"/>
    <w:rsid w:val="00DD2429"/>
    <w:rsid w:val="00DD441D"/>
    <w:rsid w:val="00DE5570"/>
    <w:rsid w:val="00DE58FB"/>
    <w:rsid w:val="00DF4052"/>
    <w:rsid w:val="00DF70B5"/>
    <w:rsid w:val="00E05A74"/>
    <w:rsid w:val="00E05E4D"/>
    <w:rsid w:val="00E0626D"/>
    <w:rsid w:val="00E072ED"/>
    <w:rsid w:val="00E11D19"/>
    <w:rsid w:val="00E169F8"/>
    <w:rsid w:val="00E21A82"/>
    <w:rsid w:val="00E22AC1"/>
    <w:rsid w:val="00E238D6"/>
    <w:rsid w:val="00E25135"/>
    <w:rsid w:val="00E25D9D"/>
    <w:rsid w:val="00E43AFC"/>
    <w:rsid w:val="00E5162B"/>
    <w:rsid w:val="00E54E10"/>
    <w:rsid w:val="00E555B5"/>
    <w:rsid w:val="00E642C0"/>
    <w:rsid w:val="00E654A6"/>
    <w:rsid w:val="00E71640"/>
    <w:rsid w:val="00E85D9E"/>
    <w:rsid w:val="00E91D38"/>
    <w:rsid w:val="00E92349"/>
    <w:rsid w:val="00E94E3A"/>
    <w:rsid w:val="00E971BF"/>
    <w:rsid w:val="00EA22EB"/>
    <w:rsid w:val="00EB0297"/>
    <w:rsid w:val="00EB0E36"/>
    <w:rsid w:val="00EB2C18"/>
    <w:rsid w:val="00EB7904"/>
    <w:rsid w:val="00ED48CD"/>
    <w:rsid w:val="00EE07E4"/>
    <w:rsid w:val="00EE23A7"/>
    <w:rsid w:val="00EE583A"/>
    <w:rsid w:val="00EF048B"/>
    <w:rsid w:val="00EF1454"/>
    <w:rsid w:val="00EF1713"/>
    <w:rsid w:val="00EF7A1E"/>
    <w:rsid w:val="00F000E1"/>
    <w:rsid w:val="00F151C9"/>
    <w:rsid w:val="00F1585F"/>
    <w:rsid w:val="00F16912"/>
    <w:rsid w:val="00F23200"/>
    <w:rsid w:val="00F244CD"/>
    <w:rsid w:val="00F24765"/>
    <w:rsid w:val="00F271B8"/>
    <w:rsid w:val="00F328CC"/>
    <w:rsid w:val="00F45A09"/>
    <w:rsid w:val="00F5085C"/>
    <w:rsid w:val="00F50EFA"/>
    <w:rsid w:val="00F614E2"/>
    <w:rsid w:val="00F62AEA"/>
    <w:rsid w:val="00F75220"/>
    <w:rsid w:val="00F77BCB"/>
    <w:rsid w:val="00F854C0"/>
    <w:rsid w:val="00F90691"/>
    <w:rsid w:val="00F95C3D"/>
    <w:rsid w:val="00F97CC1"/>
    <w:rsid w:val="00FA163D"/>
    <w:rsid w:val="00FA5858"/>
    <w:rsid w:val="00FB5821"/>
    <w:rsid w:val="00FD0F4D"/>
    <w:rsid w:val="00FE642D"/>
    <w:rsid w:val="00FF31C6"/>
    <w:rsid w:val="00FF5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5:docId w15:val="{2298B162-E690-4444-BC51-6ED1A7E48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AC8"/>
    <w:pPr>
      <w:spacing w:after="0" w:line="240" w:lineRule="auto"/>
    </w:pPr>
    <w:rPr>
      <w:rFonts w:ascii="Arial" w:eastAsia="Times New Roman" w:hAnsi="Aria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AC8"/>
    <w:rPr>
      <w:rFonts w:ascii="Tahoma" w:hAnsi="Tahoma" w:cs="Tahoma"/>
      <w:sz w:val="16"/>
      <w:szCs w:val="16"/>
    </w:rPr>
  </w:style>
  <w:style w:type="character" w:customStyle="1" w:styleId="BalloonTextChar">
    <w:name w:val="Balloon Text Char"/>
    <w:basedOn w:val="DefaultParagraphFont"/>
    <w:link w:val="BalloonText"/>
    <w:uiPriority w:val="99"/>
    <w:semiHidden/>
    <w:rsid w:val="008E6AC8"/>
    <w:rPr>
      <w:rFonts w:ascii="Tahoma" w:eastAsia="Times New Roman" w:hAnsi="Tahoma" w:cs="Tahoma"/>
      <w:sz w:val="16"/>
      <w:szCs w:val="16"/>
    </w:rPr>
  </w:style>
  <w:style w:type="paragraph" w:styleId="Header">
    <w:name w:val="header"/>
    <w:basedOn w:val="Normal"/>
    <w:link w:val="HeaderChar"/>
    <w:uiPriority w:val="99"/>
    <w:unhideWhenUsed/>
    <w:rsid w:val="00095C81"/>
    <w:pPr>
      <w:tabs>
        <w:tab w:val="center" w:pos="4680"/>
        <w:tab w:val="right" w:pos="9360"/>
      </w:tabs>
    </w:pPr>
  </w:style>
  <w:style w:type="character" w:customStyle="1" w:styleId="HeaderChar">
    <w:name w:val="Header Char"/>
    <w:basedOn w:val="DefaultParagraphFont"/>
    <w:link w:val="Header"/>
    <w:uiPriority w:val="99"/>
    <w:rsid w:val="00095C81"/>
    <w:rPr>
      <w:rFonts w:ascii="Arial" w:eastAsia="Times New Roman" w:hAnsi="Arial" w:cs="Times New Roman"/>
    </w:rPr>
  </w:style>
  <w:style w:type="paragraph" w:styleId="Footer">
    <w:name w:val="footer"/>
    <w:basedOn w:val="Normal"/>
    <w:link w:val="FooterChar"/>
    <w:uiPriority w:val="99"/>
    <w:unhideWhenUsed/>
    <w:rsid w:val="00095C81"/>
    <w:pPr>
      <w:tabs>
        <w:tab w:val="center" w:pos="4680"/>
        <w:tab w:val="right" w:pos="9360"/>
      </w:tabs>
    </w:pPr>
  </w:style>
  <w:style w:type="character" w:customStyle="1" w:styleId="FooterChar">
    <w:name w:val="Footer Char"/>
    <w:basedOn w:val="DefaultParagraphFont"/>
    <w:link w:val="Footer"/>
    <w:uiPriority w:val="99"/>
    <w:rsid w:val="00095C81"/>
    <w:rPr>
      <w:rFonts w:ascii="Arial" w:eastAsia="Times New Roman" w:hAnsi="Arial" w:cs="Times New Roman"/>
    </w:rPr>
  </w:style>
  <w:style w:type="paragraph" w:styleId="ListParagraph">
    <w:name w:val="List Paragraph"/>
    <w:basedOn w:val="Normal"/>
    <w:uiPriority w:val="34"/>
    <w:qFormat/>
    <w:rsid w:val="00413173"/>
    <w:pPr>
      <w:ind w:left="720"/>
      <w:contextualSpacing/>
    </w:pPr>
  </w:style>
  <w:style w:type="paragraph" w:styleId="Caption">
    <w:name w:val="caption"/>
    <w:basedOn w:val="Normal"/>
    <w:next w:val="Normal"/>
    <w:uiPriority w:val="35"/>
    <w:unhideWhenUsed/>
    <w:qFormat/>
    <w:rsid w:val="00571A93"/>
    <w:pPr>
      <w:spacing w:after="200"/>
    </w:pPr>
    <w:rPr>
      <w:b/>
      <w:bCs/>
      <w:color w:val="4F81BD" w:themeColor="accent1"/>
      <w:sz w:val="18"/>
      <w:szCs w:val="18"/>
    </w:rPr>
  </w:style>
  <w:style w:type="paragraph" w:styleId="FootnoteText">
    <w:name w:val="footnote text"/>
    <w:aliases w:val="Char"/>
    <w:basedOn w:val="Normal"/>
    <w:link w:val="FootnoteTextChar"/>
    <w:uiPriority w:val="99"/>
    <w:semiHidden/>
    <w:unhideWhenUsed/>
    <w:rsid w:val="009F1D86"/>
    <w:rPr>
      <w:sz w:val="20"/>
      <w:szCs w:val="20"/>
    </w:rPr>
  </w:style>
  <w:style w:type="character" w:customStyle="1" w:styleId="FootnoteTextChar">
    <w:name w:val="Footnote Text Char"/>
    <w:aliases w:val="Char Char"/>
    <w:basedOn w:val="DefaultParagraphFont"/>
    <w:link w:val="FootnoteText"/>
    <w:uiPriority w:val="99"/>
    <w:semiHidden/>
    <w:rsid w:val="009F1D86"/>
    <w:rPr>
      <w:rFonts w:ascii="Arial" w:eastAsia="Times New Roman" w:hAnsi="Arial" w:cs="Times New Roman"/>
      <w:sz w:val="20"/>
      <w:szCs w:val="20"/>
    </w:rPr>
  </w:style>
  <w:style w:type="character" w:styleId="FootnoteReference">
    <w:name w:val="footnote reference"/>
    <w:uiPriority w:val="99"/>
    <w:semiHidden/>
    <w:unhideWhenUsed/>
    <w:rsid w:val="009F1D86"/>
    <w:rPr>
      <w:vertAlign w:val="superscript"/>
    </w:rPr>
  </w:style>
  <w:style w:type="paragraph" w:styleId="NoSpacing">
    <w:name w:val="No Spacing"/>
    <w:uiPriority w:val="1"/>
    <w:qFormat/>
    <w:rsid w:val="00081FB4"/>
    <w:pPr>
      <w:spacing w:after="0" w:line="240" w:lineRule="auto"/>
    </w:pPr>
    <w:rPr>
      <w:rFonts w:ascii="Arial" w:eastAsia="Times New Roman" w:hAnsi="Arial" w:cs="Times New Roman"/>
    </w:rPr>
  </w:style>
  <w:style w:type="character" w:styleId="CommentReference">
    <w:name w:val="annotation reference"/>
    <w:basedOn w:val="DefaultParagraphFont"/>
    <w:uiPriority w:val="99"/>
    <w:semiHidden/>
    <w:unhideWhenUsed/>
    <w:rsid w:val="00C706AC"/>
    <w:rPr>
      <w:sz w:val="16"/>
      <w:szCs w:val="16"/>
    </w:rPr>
  </w:style>
  <w:style w:type="paragraph" w:styleId="CommentText">
    <w:name w:val="annotation text"/>
    <w:basedOn w:val="Normal"/>
    <w:link w:val="CommentTextChar"/>
    <w:uiPriority w:val="99"/>
    <w:semiHidden/>
    <w:unhideWhenUsed/>
    <w:rsid w:val="00C706AC"/>
    <w:rPr>
      <w:sz w:val="20"/>
      <w:szCs w:val="20"/>
    </w:rPr>
  </w:style>
  <w:style w:type="character" w:customStyle="1" w:styleId="CommentTextChar">
    <w:name w:val="Comment Text Char"/>
    <w:basedOn w:val="DefaultParagraphFont"/>
    <w:link w:val="CommentText"/>
    <w:uiPriority w:val="99"/>
    <w:semiHidden/>
    <w:rsid w:val="00C706A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706AC"/>
    <w:rPr>
      <w:b/>
      <w:bCs/>
    </w:rPr>
  </w:style>
  <w:style w:type="character" w:customStyle="1" w:styleId="CommentSubjectChar">
    <w:name w:val="Comment Subject Char"/>
    <w:basedOn w:val="CommentTextChar"/>
    <w:link w:val="CommentSubject"/>
    <w:uiPriority w:val="99"/>
    <w:semiHidden/>
    <w:rsid w:val="00C706AC"/>
    <w:rPr>
      <w:rFonts w:ascii="Arial" w:eastAsia="Times New Roman" w:hAnsi="Arial" w:cs="Times New Roman"/>
      <w:b/>
      <w:bCs/>
      <w:sz w:val="20"/>
      <w:szCs w:val="20"/>
    </w:rPr>
  </w:style>
  <w:style w:type="paragraph" w:styleId="Subtitle">
    <w:name w:val="Subtitle"/>
    <w:basedOn w:val="Normal"/>
    <w:next w:val="Normal"/>
    <w:link w:val="SubtitleChar"/>
    <w:uiPriority w:val="11"/>
    <w:qFormat/>
    <w:rsid w:val="009076E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076E6"/>
    <w:rPr>
      <w:rFonts w:eastAsiaTheme="minorEastAsia"/>
      <w:color w:val="5A5A5A" w:themeColor="text1" w:themeTint="A5"/>
      <w:spacing w:val="15"/>
    </w:rPr>
  </w:style>
  <w:style w:type="character" w:customStyle="1" w:styleId="dfrq">
    <w:name w:val="df_rq"/>
    <w:basedOn w:val="DefaultParagraphFont"/>
    <w:rsid w:val="0065695A"/>
  </w:style>
  <w:style w:type="character" w:styleId="Hyperlink">
    <w:name w:val="Hyperlink"/>
    <w:basedOn w:val="DefaultParagraphFont"/>
    <w:uiPriority w:val="99"/>
    <w:semiHidden/>
    <w:unhideWhenUsed/>
    <w:rsid w:val="0065695A"/>
    <w:rPr>
      <w:color w:val="0000FF"/>
      <w:u w:val="single"/>
    </w:rPr>
  </w:style>
  <w:style w:type="character" w:styleId="Strong">
    <w:name w:val="Strong"/>
    <w:basedOn w:val="DefaultParagraphFont"/>
    <w:uiPriority w:val="22"/>
    <w:qFormat/>
    <w:rsid w:val="006569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7586">
      <w:bodyDiv w:val="1"/>
      <w:marLeft w:val="0"/>
      <w:marRight w:val="0"/>
      <w:marTop w:val="0"/>
      <w:marBottom w:val="0"/>
      <w:divBdr>
        <w:top w:val="none" w:sz="0" w:space="0" w:color="auto"/>
        <w:left w:val="none" w:sz="0" w:space="0" w:color="auto"/>
        <w:bottom w:val="none" w:sz="0" w:space="0" w:color="auto"/>
        <w:right w:val="none" w:sz="0" w:space="0" w:color="auto"/>
      </w:divBdr>
    </w:div>
    <w:div w:id="39718388">
      <w:bodyDiv w:val="1"/>
      <w:marLeft w:val="0"/>
      <w:marRight w:val="0"/>
      <w:marTop w:val="0"/>
      <w:marBottom w:val="0"/>
      <w:divBdr>
        <w:top w:val="none" w:sz="0" w:space="0" w:color="auto"/>
        <w:left w:val="none" w:sz="0" w:space="0" w:color="auto"/>
        <w:bottom w:val="none" w:sz="0" w:space="0" w:color="auto"/>
        <w:right w:val="none" w:sz="0" w:space="0" w:color="auto"/>
      </w:divBdr>
    </w:div>
    <w:div w:id="163134657">
      <w:bodyDiv w:val="1"/>
      <w:marLeft w:val="0"/>
      <w:marRight w:val="0"/>
      <w:marTop w:val="0"/>
      <w:marBottom w:val="0"/>
      <w:divBdr>
        <w:top w:val="none" w:sz="0" w:space="0" w:color="auto"/>
        <w:left w:val="none" w:sz="0" w:space="0" w:color="auto"/>
        <w:bottom w:val="none" w:sz="0" w:space="0" w:color="auto"/>
        <w:right w:val="none" w:sz="0" w:space="0" w:color="auto"/>
      </w:divBdr>
    </w:div>
    <w:div w:id="297610622">
      <w:bodyDiv w:val="1"/>
      <w:marLeft w:val="0"/>
      <w:marRight w:val="0"/>
      <w:marTop w:val="0"/>
      <w:marBottom w:val="0"/>
      <w:divBdr>
        <w:top w:val="none" w:sz="0" w:space="0" w:color="auto"/>
        <w:left w:val="none" w:sz="0" w:space="0" w:color="auto"/>
        <w:bottom w:val="none" w:sz="0" w:space="0" w:color="auto"/>
        <w:right w:val="none" w:sz="0" w:space="0" w:color="auto"/>
      </w:divBdr>
    </w:div>
    <w:div w:id="333461579">
      <w:bodyDiv w:val="1"/>
      <w:marLeft w:val="0"/>
      <w:marRight w:val="0"/>
      <w:marTop w:val="0"/>
      <w:marBottom w:val="0"/>
      <w:divBdr>
        <w:top w:val="none" w:sz="0" w:space="0" w:color="auto"/>
        <w:left w:val="none" w:sz="0" w:space="0" w:color="auto"/>
        <w:bottom w:val="none" w:sz="0" w:space="0" w:color="auto"/>
        <w:right w:val="none" w:sz="0" w:space="0" w:color="auto"/>
      </w:divBdr>
    </w:div>
    <w:div w:id="384261686">
      <w:bodyDiv w:val="1"/>
      <w:marLeft w:val="0"/>
      <w:marRight w:val="0"/>
      <w:marTop w:val="0"/>
      <w:marBottom w:val="0"/>
      <w:divBdr>
        <w:top w:val="none" w:sz="0" w:space="0" w:color="auto"/>
        <w:left w:val="none" w:sz="0" w:space="0" w:color="auto"/>
        <w:bottom w:val="none" w:sz="0" w:space="0" w:color="auto"/>
        <w:right w:val="none" w:sz="0" w:space="0" w:color="auto"/>
      </w:divBdr>
    </w:div>
    <w:div w:id="442774636">
      <w:bodyDiv w:val="1"/>
      <w:marLeft w:val="0"/>
      <w:marRight w:val="0"/>
      <w:marTop w:val="0"/>
      <w:marBottom w:val="0"/>
      <w:divBdr>
        <w:top w:val="none" w:sz="0" w:space="0" w:color="auto"/>
        <w:left w:val="none" w:sz="0" w:space="0" w:color="auto"/>
        <w:bottom w:val="none" w:sz="0" w:space="0" w:color="auto"/>
        <w:right w:val="none" w:sz="0" w:space="0" w:color="auto"/>
      </w:divBdr>
    </w:div>
    <w:div w:id="487215709">
      <w:bodyDiv w:val="1"/>
      <w:marLeft w:val="0"/>
      <w:marRight w:val="0"/>
      <w:marTop w:val="0"/>
      <w:marBottom w:val="0"/>
      <w:divBdr>
        <w:top w:val="none" w:sz="0" w:space="0" w:color="auto"/>
        <w:left w:val="none" w:sz="0" w:space="0" w:color="auto"/>
        <w:bottom w:val="none" w:sz="0" w:space="0" w:color="auto"/>
        <w:right w:val="none" w:sz="0" w:space="0" w:color="auto"/>
      </w:divBdr>
    </w:div>
    <w:div w:id="498736626">
      <w:bodyDiv w:val="1"/>
      <w:marLeft w:val="0"/>
      <w:marRight w:val="0"/>
      <w:marTop w:val="0"/>
      <w:marBottom w:val="0"/>
      <w:divBdr>
        <w:top w:val="none" w:sz="0" w:space="0" w:color="auto"/>
        <w:left w:val="none" w:sz="0" w:space="0" w:color="auto"/>
        <w:bottom w:val="none" w:sz="0" w:space="0" w:color="auto"/>
        <w:right w:val="none" w:sz="0" w:space="0" w:color="auto"/>
      </w:divBdr>
    </w:div>
    <w:div w:id="509881146">
      <w:bodyDiv w:val="1"/>
      <w:marLeft w:val="0"/>
      <w:marRight w:val="0"/>
      <w:marTop w:val="0"/>
      <w:marBottom w:val="0"/>
      <w:divBdr>
        <w:top w:val="none" w:sz="0" w:space="0" w:color="auto"/>
        <w:left w:val="none" w:sz="0" w:space="0" w:color="auto"/>
        <w:bottom w:val="none" w:sz="0" w:space="0" w:color="auto"/>
        <w:right w:val="none" w:sz="0" w:space="0" w:color="auto"/>
      </w:divBdr>
    </w:div>
    <w:div w:id="583801117">
      <w:bodyDiv w:val="1"/>
      <w:marLeft w:val="0"/>
      <w:marRight w:val="0"/>
      <w:marTop w:val="0"/>
      <w:marBottom w:val="0"/>
      <w:divBdr>
        <w:top w:val="none" w:sz="0" w:space="0" w:color="auto"/>
        <w:left w:val="none" w:sz="0" w:space="0" w:color="auto"/>
        <w:bottom w:val="none" w:sz="0" w:space="0" w:color="auto"/>
        <w:right w:val="none" w:sz="0" w:space="0" w:color="auto"/>
      </w:divBdr>
    </w:div>
    <w:div w:id="588319437">
      <w:bodyDiv w:val="1"/>
      <w:marLeft w:val="0"/>
      <w:marRight w:val="0"/>
      <w:marTop w:val="0"/>
      <w:marBottom w:val="0"/>
      <w:divBdr>
        <w:top w:val="none" w:sz="0" w:space="0" w:color="auto"/>
        <w:left w:val="none" w:sz="0" w:space="0" w:color="auto"/>
        <w:bottom w:val="none" w:sz="0" w:space="0" w:color="auto"/>
        <w:right w:val="none" w:sz="0" w:space="0" w:color="auto"/>
      </w:divBdr>
    </w:div>
    <w:div w:id="589889953">
      <w:bodyDiv w:val="1"/>
      <w:marLeft w:val="0"/>
      <w:marRight w:val="0"/>
      <w:marTop w:val="0"/>
      <w:marBottom w:val="0"/>
      <w:divBdr>
        <w:top w:val="none" w:sz="0" w:space="0" w:color="auto"/>
        <w:left w:val="none" w:sz="0" w:space="0" w:color="auto"/>
        <w:bottom w:val="none" w:sz="0" w:space="0" w:color="auto"/>
        <w:right w:val="none" w:sz="0" w:space="0" w:color="auto"/>
      </w:divBdr>
    </w:div>
    <w:div w:id="751000928">
      <w:bodyDiv w:val="1"/>
      <w:marLeft w:val="0"/>
      <w:marRight w:val="0"/>
      <w:marTop w:val="0"/>
      <w:marBottom w:val="0"/>
      <w:divBdr>
        <w:top w:val="none" w:sz="0" w:space="0" w:color="auto"/>
        <w:left w:val="none" w:sz="0" w:space="0" w:color="auto"/>
        <w:bottom w:val="none" w:sz="0" w:space="0" w:color="auto"/>
        <w:right w:val="none" w:sz="0" w:space="0" w:color="auto"/>
      </w:divBdr>
    </w:div>
    <w:div w:id="802386740">
      <w:bodyDiv w:val="1"/>
      <w:marLeft w:val="0"/>
      <w:marRight w:val="0"/>
      <w:marTop w:val="0"/>
      <w:marBottom w:val="0"/>
      <w:divBdr>
        <w:top w:val="none" w:sz="0" w:space="0" w:color="auto"/>
        <w:left w:val="none" w:sz="0" w:space="0" w:color="auto"/>
        <w:bottom w:val="none" w:sz="0" w:space="0" w:color="auto"/>
        <w:right w:val="none" w:sz="0" w:space="0" w:color="auto"/>
      </w:divBdr>
    </w:div>
    <w:div w:id="804353317">
      <w:bodyDiv w:val="1"/>
      <w:marLeft w:val="0"/>
      <w:marRight w:val="0"/>
      <w:marTop w:val="0"/>
      <w:marBottom w:val="0"/>
      <w:divBdr>
        <w:top w:val="none" w:sz="0" w:space="0" w:color="auto"/>
        <w:left w:val="none" w:sz="0" w:space="0" w:color="auto"/>
        <w:bottom w:val="none" w:sz="0" w:space="0" w:color="auto"/>
        <w:right w:val="none" w:sz="0" w:space="0" w:color="auto"/>
      </w:divBdr>
    </w:div>
    <w:div w:id="930703149">
      <w:bodyDiv w:val="1"/>
      <w:marLeft w:val="0"/>
      <w:marRight w:val="0"/>
      <w:marTop w:val="0"/>
      <w:marBottom w:val="0"/>
      <w:divBdr>
        <w:top w:val="none" w:sz="0" w:space="0" w:color="auto"/>
        <w:left w:val="none" w:sz="0" w:space="0" w:color="auto"/>
        <w:bottom w:val="none" w:sz="0" w:space="0" w:color="auto"/>
        <w:right w:val="none" w:sz="0" w:space="0" w:color="auto"/>
      </w:divBdr>
    </w:div>
    <w:div w:id="962884239">
      <w:bodyDiv w:val="1"/>
      <w:marLeft w:val="0"/>
      <w:marRight w:val="0"/>
      <w:marTop w:val="0"/>
      <w:marBottom w:val="0"/>
      <w:divBdr>
        <w:top w:val="none" w:sz="0" w:space="0" w:color="auto"/>
        <w:left w:val="none" w:sz="0" w:space="0" w:color="auto"/>
        <w:bottom w:val="none" w:sz="0" w:space="0" w:color="auto"/>
        <w:right w:val="none" w:sz="0" w:space="0" w:color="auto"/>
      </w:divBdr>
    </w:div>
    <w:div w:id="966004856">
      <w:bodyDiv w:val="1"/>
      <w:marLeft w:val="0"/>
      <w:marRight w:val="0"/>
      <w:marTop w:val="0"/>
      <w:marBottom w:val="0"/>
      <w:divBdr>
        <w:top w:val="none" w:sz="0" w:space="0" w:color="auto"/>
        <w:left w:val="none" w:sz="0" w:space="0" w:color="auto"/>
        <w:bottom w:val="none" w:sz="0" w:space="0" w:color="auto"/>
        <w:right w:val="none" w:sz="0" w:space="0" w:color="auto"/>
      </w:divBdr>
    </w:div>
    <w:div w:id="1065758606">
      <w:bodyDiv w:val="1"/>
      <w:marLeft w:val="0"/>
      <w:marRight w:val="0"/>
      <w:marTop w:val="0"/>
      <w:marBottom w:val="0"/>
      <w:divBdr>
        <w:top w:val="none" w:sz="0" w:space="0" w:color="auto"/>
        <w:left w:val="none" w:sz="0" w:space="0" w:color="auto"/>
        <w:bottom w:val="none" w:sz="0" w:space="0" w:color="auto"/>
        <w:right w:val="none" w:sz="0" w:space="0" w:color="auto"/>
      </w:divBdr>
    </w:div>
    <w:div w:id="1081293357">
      <w:bodyDiv w:val="1"/>
      <w:marLeft w:val="0"/>
      <w:marRight w:val="0"/>
      <w:marTop w:val="0"/>
      <w:marBottom w:val="0"/>
      <w:divBdr>
        <w:top w:val="none" w:sz="0" w:space="0" w:color="auto"/>
        <w:left w:val="none" w:sz="0" w:space="0" w:color="auto"/>
        <w:bottom w:val="none" w:sz="0" w:space="0" w:color="auto"/>
        <w:right w:val="none" w:sz="0" w:space="0" w:color="auto"/>
      </w:divBdr>
    </w:div>
    <w:div w:id="1150095214">
      <w:bodyDiv w:val="1"/>
      <w:marLeft w:val="0"/>
      <w:marRight w:val="0"/>
      <w:marTop w:val="0"/>
      <w:marBottom w:val="0"/>
      <w:divBdr>
        <w:top w:val="none" w:sz="0" w:space="0" w:color="auto"/>
        <w:left w:val="none" w:sz="0" w:space="0" w:color="auto"/>
        <w:bottom w:val="none" w:sz="0" w:space="0" w:color="auto"/>
        <w:right w:val="none" w:sz="0" w:space="0" w:color="auto"/>
      </w:divBdr>
    </w:div>
    <w:div w:id="1166702847">
      <w:bodyDiv w:val="1"/>
      <w:marLeft w:val="0"/>
      <w:marRight w:val="0"/>
      <w:marTop w:val="0"/>
      <w:marBottom w:val="0"/>
      <w:divBdr>
        <w:top w:val="none" w:sz="0" w:space="0" w:color="auto"/>
        <w:left w:val="none" w:sz="0" w:space="0" w:color="auto"/>
        <w:bottom w:val="none" w:sz="0" w:space="0" w:color="auto"/>
        <w:right w:val="none" w:sz="0" w:space="0" w:color="auto"/>
      </w:divBdr>
    </w:div>
    <w:div w:id="1189610881">
      <w:bodyDiv w:val="1"/>
      <w:marLeft w:val="0"/>
      <w:marRight w:val="0"/>
      <w:marTop w:val="0"/>
      <w:marBottom w:val="0"/>
      <w:divBdr>
        <w:top w:val="none" w:sz="0" w:space="0" w:color="auto"/>
        <w:left w:val="none" w:sz="0" w:space="0" w:color="auto"/>
        <w:bottom w:val="none" w:sz="0" w:space="0" w:color="auto"/>
        <w:right w:val="none" w:sz="0" w:space="0" w:color="auto"/>
      </w:divBdr>
    </w:div>
    <w:div w:id="1206330254">
      <w:bodyDiv w:val="1"/>
      <w:marLeft w:val="0"/>
      <w:marRight w:val="0"/>
      <w:marTop w:val="0"/>
      <w:marBottom w:val="0"/>
      <w:divBdr>
        <w:top w:val="none" w:sz="0" w:space="0" w:color="auto"/>
        <w:left w:val="none" w:sz="0" w:space="0" w:color="auto"/>
        <w:bottom w:val="none" w:sz="0" w:space="0" w:color="auto"/>
        <w:right w:val="none" w:sz="0" w:space="0" w:color="auto"/>
      </w:divBdr>
    </w:div>
    <w:div w:id="1232084278">
      <w:bodyDiv w:val="1"/>
      <w:marLeft w:val="0"/>
      <w:marRight w:val="0"/>
      <w:marTop w:val="0"/>
      <w:marBottom w:val="0"/>
      <w:divBdr>
        <w:top w:val="none" w:sz="0" w:space="0" w:color="auto"/>
        <w:left w:val="none" w:sz="0" w:space="0" w:color="auto"/>
        <w:bottom w:val="none" w:sz="0" w:space="0" w:color="auto"/>
        <w:right w:val="none" w:sz="0" w:space="0" w:color="auto"/>
      </w:divBdr>
    </w:div>
    <w:div w:id="1243373962">
      <w:bodyDiv w:val="1"/>
      <w:marLeft w:val="0"/>
      <w:marRight w:val="0"/>
      <w:marTop w:val="0"/>
      <w:marBottom w:val="0"/>
      <w:divBdr>
        <w:top w:val="none" w:sz="0" w:space="0" w:color="auto"/>
        <w:left w:val="none" w:sz="0" w:space="0" w:color="auto"/>
        <w:bottom w:val="none" w:sz="0" w:space="0" w:color="auto"/>
        <w:right w:val="none" w:sz="0" w:space="0" w:color="auto"/>
      </w:divBdr>
    </w:div>
    <w:div w:id="1266226294">
      <w:bodyDiv w:val="1"/>
      <w:marLeft w:val="0"/>
      <w:marRight w:val="0"/>
      <w:marTop w:val="0"/>
      <w:marBottom w:val="0"/>
      <w:divBdr>
        <w:top w:val="none" w:sz="0" w:space="0" w:color="auto"/>
        <w:left w:val="none" w:sz="0" w:space="0" w:color="auto"/>
        <w:bottom w:val="none" w:sz="0" w:space="0" w:color="auto"/>
        <w:right w:val="none" w:sz="0" w:space="0" w:color="auto"/>
      </w:divBdr>
    </w:div>
    <w:div w:id="1330213786">
      <w:bodyDiv w:val="1"/>
      <w:marLeft w:val="0"/>
      <w:marRight w:val="0"/>
      <w:marTop w:val="0"/>
      <w:marBottom w:val="0"/>
      <w:divBdr>
        <w:top w:val="none" w:sz="0" w:space="0" w:color="auto"/>
        <w:left w:val="none" w:sz="0" w:space="0" w:color="auto"/>
        <w:bottom w:val="none" w:sz="0" w:space="0" w:color="auto"/>
        <w:right w:val="none" w:sz="0" w:space="0" w:color="auto"/>
      </w:divBdr>
    </w:div>
    <w:div w:id="1394155504">
      <w:bodyDiv w:val="1"/>
      <w:marLeft w:val="0"/>
      <w:marRight w:val="0"/>
      <w:marTop w:val="0"/>
      <w:marBottom w:val="0"/>
      <w:divBdr>
        <w:top w:val="none" w:sz="0" w:space="0" w:color="auto"/>
        <w:left w:val="none" w:sz="0" w:space="0" w:color="auto"/>
        <w:bottom w:val="none" w:sz="0" w:space="0" w:color="auto"/>
        <w:right w:val="none" w:sz="0" w:space="0" w:color="auto"/>
      </w:divBdr>
    </w:div>
    <w:div w:id="1397623662">
      <w:bodyDiv w:val="1"/>
      <w:marLeft w:val="0"/>
      <w:marRight w:val="0"/>
      <w:marTop w:val="0"/>
      <w:marBottom w:val="0"/>
      <w:divBdr>
        <w:top w:val="none" w:sz="0" w:space="0" w:color="auto"/>
        <w:left w:val="none" w:sz="0" w:space="0" w:color="auto"/>
        <w:bottom w:val="none" w:sz="0" w:space="0" w:color="auto"/>
        <w:right w:val="none" w:sz="0" w:space="0" w:color="auto"/>
      </w:divBdr>
    </w:div>
    <w:div w:id="1406142379">
      <w:bodyDiv w:val="1"/>
      <w:marLeft w:val="0"/>
      <w:marRight w:val="0"/>
      <w:marTop w:val="0"/>
      <w:marBottom w:val="0"/>
      <w:divBdr>
        <w:top w:val="none" w:sz="0" w:space="0" w:color="auto"/>
        <w:left w:val="none" w:sz="0" w:space="0" w:color="auto"/>
        <w:bottom w:val="none" w:sz="0" w:space="0" w:color="auto"/>
        <w:right w:val="none" w:sz="0" w:space="0" w:color="auto"/>
      </w:divBdr>
    </w:div>
    <w:div w:id="1411080295">
      <w:bodyDiv w:val="1"/>
      <w:marLeft w:val="0"/>
      <w:marRight w:val="0"/>
      <w:marTop w:val="0"/>
      <w:marBottom w:val="0"/>
      <w:divBdr>
        <w:top w:val="none" w:sz="0" w:space="0" w:color="auto"/>
        <w:left w:val="none" w:sz="0" w:space="0" w:color="auto"/>
        <w:bottom w:val="none" w:sz="0" w:space="0" w:color="auto"/>
        <w:right w:val="none" w:sz="0" w:space="0" w:color="auto"/>
      </w:divBdr>
    </w:div>
    <w:div w:id="1416512221">
      <w:bodyDiv w:val="1"/>
      <w:marLeft w:val="0"/>
      <w:marRight w:val="0"/>
      <w:marTop w:val="0"/>
      <w:marBottom w:val="0"/>
      <w:divBdr>
        <w:top w:val="none" w:sz="0" w:space="0" w:color="auto"/>
        <w:left w:val="none" w:sz="0" w:space="0" w:color="auto"/>
        <w:bottom w:val="none" w:sz="0" w:space="0" w:color="auto"/>
        <w:right w:val="none" w:sz="0" w:space="0" w:color="auto"/>
      </w:divBdr>
    </w:div>
    <w:div w:id="1477841372">
      <w:bodyDiv w:val="1"/>
      <w:marLeft w:val="0"/>
      <w:marRight w:val="0"/>
      <w:marTop w:val="0"/>
      <w:marBottom w:val="0"/>
      <w:divBdr>
        <w:top w:val="none" w:sz="0" w:space="0" w:color="auto"/>
        <w:left w:val="none" w:sz="0" w:space="0" w:color="auto"/>
        <w:bottom w:val="none" w:sz="0" w:space="0" w:color="auto"/>
        <w:right w:val="none" w:sz="0" w:space="0" w:color="auto"/>
      </w:divBdr>
    </w:div>
    <w:div w:id="1519612598">
      <w:bodyDiv w:val="1"/>
      <w:marLeft w:val="0"/>
      <w:marRight w:val="0"/>
      <w:marTop w:val="0"/>
      <w:marBottom w:val="0"/>
      <w:divBdr>
        <w:top w:val="none" w:sz="0" w:space="0" w:color="auto"/>
        <w:left w:val="none" w:sz="0" w:space="0" w:color="auto"/>
        <w:bottom w:val="none" w:sz="0" w:space="0" w:color="auto"/>
        <w:right w:val="none" w:sz="0" w:space="0" w:color="auto"/>
      </w:divBdr>
    </w:div>
    <w:div w:id="1520002064">
      <w:bodyDiv w:val="1"/>
      <w:marLeft w:val="0"/>
      <w:marRight w:val="0"/>
      <w:marTop w:val="0"/>
      <w:marBottom w:val="0"/>
      <w:divBdr>
        <w:top w:val="none" w:sz="0" w:space="0" w:color="auto"/>
        <w:left w:val="none" w:sz="0" w:space="0" w:color="auto"/>
        <w:bottom w:val="none" w:sz="0" w:space="0" w:color="auto"/>
        <w:right w:val="none" w:sz="0" w:space="0" w:color="auto"/>
      </w:divBdr>
    </w:div>
    <w:div w:id="1633052548">
      <w:bodyDiv w:val="1"/>
      <w:marLeft w:val="0"/>
      <w:marRight w:val="0"/>
      <w:marTop w:val="0"/>
      <w:marBottom w:val="0"/>
      <w:divBdr>
        <w:top w:val="none" w:sz="0" w:space="0" w:color="auto"/>
        <w:left w:val="none" w:sz="0" w:space="0" w:color="auto"/>
        <w:bottom w:val="none" w:sz="0" w:space="0" w:color="auto"/>
        <w:right w:val="none" w:sz="0" w:space="0" w:color="auto"/>
      </w:divBdr>
    </w:div>
    <w:div w:id="1655642488">
      <w:bodyDiv w:val="1"/>
      <w:marLeft w:val="0"/>
      <w:marRight w:val="0"/>
      <w:marTop w:val="0"/>
      <w:marBottom w:val="0"/>
      <w:divBdr>
        <w:top w:val="none" w:sz="0" w:space="0" w:color="auto"/>
        <w:left w:val="none" w:sz="0" w:space="0" w:color="auto"/>
        <w:bottom w:val="none" w:sz="0" w:space="0" w:color="auto"/>
        <w:right w:val="none" w:sz="0" w:space="0" w:color="auto"/>
      </w:divBdr>
    </w:div>
    <w:div w:id="1760327345">
      <w:bodyDiv w:val="1"/>
      <w:marLeft w:val="0"/>
      <w:marRight w:val="0"/>
      <w:marTop w:val="0"/>
      <w:marBottom w:val="0"/>
      <w:divBdr>
        <w:top w:val="none" w:sz="0" w:space="0" w:color="auto"/>
        <w:left w:val="none" w:sz="0" w:space="0" w:color="auto"/>
        <w:bottom w:val="none" w:sz="0" w:space="0" w:color="auto"/>
        <w:right w:val="none" w:sz="0" w:space="0" w:color="auto"/>
      </w:divBdr>
    </w:div>
    <w:div w:id="1792477357">
      <w:bodyDiv w:val="1"/>
      <w:marLeft w:val="0"/>
      <w:marRight w:val="0"/>
      <w:marTop w:val="0"/>
      <w:marBottom w:val="0"/>
      <w:divBdr>
        <w:top w:val="none" w:sz="0" w:space="0" w:color="auto"/>
        <w:left w:val="none" w:sz="0" w:space="0" w:color="auto"/>
        <w:bottom w:val="none" w:sz="0" w:space="0" w:color="auto"/>
        <w:right w:val="none" w:sz="0" w:space="0" w:color="auto"/>
      </w:divBdr>
    </w:div>
    <w:div w:id="1809081703">
      <w:bodyDiv w:val="1"/>
      <w:marLeft w:val="0"/>
      <w:marRight w:val="0"/>
      <w:marTop w:val="0"/>
      <w:marBottom w:val="0"/>
      <w:divBdr>
        <w:top w:val="none" w:sz="0" w:space="0" w:color="auto"/>
        <w:left w:val="none" w:sz="0" w:space="0" w:color="auto"/>
        <w:bottom w:val="none" w:sz="0" w:space="0" w:color="auto"/>
        <w:right w:val="none" w:sz="0" w:space="0" w:color="auto"/>
      </w:divBdr>
    </w:div>
    <w:div w:id="1842618025">
      <w:bodyDiv w:val="1"/>
      <w:marLeft w:val="0"/>
      <w:marRight w:val="0"/>
      <w:marTop w:val="0"/>
      <w:marBottom w:val="0"/>
      <w:divBdr>
        <w:top w:val="none" w:sz="0" w:space="0" w:color="auto"/>
        <w:left w:val="none" w:sz="0" w:space="0" w:color="auto"/>
        <w:bottom w:val="none" w:sz="0" w:space="0" w:color="auto"/>
        <w:right w:val="none" w:sz="0" w:space="0" w:color="auto"/>
      </w:divBdr>
    </w:div>
    <w:div w:id="1882013388">
      <w:bodyDiv w:val="1"/>
      <w:marLeft w:val="0"/>
      <w:marRight w:val="0"/>
      <w:marTop w:val="0"/>
      <w:marBottom w:val="0"/>
      <w:divBdr>
        <w:top w:val="none" w:sz="0" w:space="0" w:color="auto"/>
        <w:left w:val="none" w:sz="0" w:space="0" w:color="auto"/>
        <w:bottom w:val="none" w:sz="0" w:space="0" w:color="auto"/>
        <w:right w:val="none" w:sz="0" w:space="0" w:color="auto"/>
      </w:divBdr>
    </w:div>
    <w:div w:id="1909680675">
      <w:bodyDiv w:val="1"/>
      <w:marLeft w:val="0"/>
      <w:marRight w:val="0"/>
      <w:marTop w:val="0"/>
      <w:marBottom w:val="0"/>
      <w:divBdr>
        <w:top w:val="none" w:sz="0" w:space="0" w:color="auto"/>
        <w:left w:val="none" w:sz="0" w:space="0" w:color="auto"/>
        <w:bottom w:val="none" w:sz="0" w:space="0" w:color="auto"/>
        <w:right w:val="none" w:sz="0" w:space="0" w:color="auto"/>
      </w:divBdr>
    </w:div>
    <w:div w:id="1923176738">
      <w:bodyDiv w:val="1"/>
      <w:marLeft w:val="0"/>
      <w:marRight w:val="0"/>
      <w:marTop w:val="0"/>
      <w:marBottom w:val="0"/>
      <w:divBdr>
        <w:top w:val="none" w:sz="0" w:space="0" w:color="auto"/>
        <w:left w:val="none" w:sz="0" w:space="0" w:color="auto"/>
        <w:bottom w:val="none" w:sz="0" w:space="0" w:color="auto"/>
        <w:right w:val="none" w:sz="0" w:space="0" w:color="auto"/>
      </w:divBdr>
    </w:div>
    <w:div w:id="1953047779">
      <w:bodyDiv w:val="1"/>
      <w:marLeft w:val="0"/>
      <w:marRight w:val="0"/>
      <w:marTop w:val="0"/>
      <w:marBottom w:val="0"/>
      <w:divBdr>
        <w:top w:val="none" w:sz="0" w:space="0" w:color="auto"/>
        <w:left w:val="none" w:sz="0" w:space="0" w:color="auto"/>
        <w:bottom w:val="none" w:sz="0" w:space="0" w:color="auto"/>
        <w:right w:val="none" w:sz="0" w:space="0" w:color="auto"/>
      </w:divBdr>
    </w:div>
    <w:div w:id="1960448201">
      <w:bodyDiv w:val="1"/>
      <w:marLeft w:val="0"/>
      <w:marRight w:val="0"/>
      <w:marTop w:val="0"/>
      <w:marBottom w:val="0"/>
      <w:divBdr>
        <w:top w:val="none" w:sz="0" w:space="0" w:color="auto"/>
        <w:left w:val="none" w:sz="0" w:space="0" w:color="auto"/>
        <w:bottom w:val="none" w:sz="0" w:space="0" w:color="auto"/>
        <w:right w:val="none" w:sz="0" w:space="0" w:color="auto"/>
      </w:divBdr>
    </w:div>
    <w:div w:id="1968974640">
      <w:bodyDiv w:val="1"/>
      <w:marLeft w:val="0"/>
      <w:marRight w:val="0"/>
      <w:marTop w:val="0"/>
      <w:marBottom w:val="0"/>
      <w:divBdr>
        <w:top w:val="none" w:sz="0" w:space="0" w:color="auto"/>
        <w:left w:val="none" w:sz="0" w:space="0" w:color="auto"/>
        <w:bottom w:val="none" w:sz="0" w:space="0" w:color="auto"/>
        <w:right w:val="none" w:sz="0" w:space="0" w:color="auto"/>
      </w:divBdr>
    </w:div>
    <w:div w:id="1971008396">
      <w:bodyDiv w:val="1"/>
      <w:marLeft w:val="0"/>
      <w:marRight w:val="0"/>
      <w:marTop w:val="0"/>
      <w:marBottom w:val="0"/>
      <w:divBdr>
        <w:top w:val="none" w:sz="0" w:space="0" w:color="auto"/>
        <w:left w:val="none" w:sz="0" w:space="0" w:color="auto"/>
        <w:bottom w:val="none" w:sz="0" w:space="0" w:color="auto"/>
        <w:right w:val="none" w:sz="0" w:space="0" w:color="auto"/>
      </w:divBdr>
    </w:div>
    <w:div w:id="2053455571">
      <w:bodyDiv w:val="1"/>
      <w:marLeft w:val="0"/>
      <w:marRight w:val="0"/>
      <w:marTop w:val="0"/>
      <w:marBottom w:val="0"/>
      <w:divBdr>
        <w:top w:val="none" w:sz="0" w:space="0" w:color="auto"/>
        <w:left w:val="none" w:sz="0" w:space="0" w:color="auto"/>
        <w:bottom w:val="none" w:sz="0" w:space="0" w:color="auto"/>
        <w:right w:val="none" w:sz="0" w:space="0" w:color="auto"/>
      </w:divBdr>
    </w:div>
    <w:div w:id="2079588728">
      <w:bodyDiv w:val="1"/>
      <w:marLeft w:val="0"/>
      <w:marRight w:val="0"/>
      <w:marTop w:val="0"/>
      <w:marBottom w:val="0"/>
      <w:divBdr>
        <w:top w:val="none" w:sz="0" w:space="0" w:color="auto"/>
        <w:left w:val="none" w:sz="0" w:space="0" w:color="auto"/>
        <w:bottom w:val="none" w:sz="0" w:space="0" w:color="auto"/>
        <w:right w:val="none" w:sz="0" w:space="0" w:color="auto"/>
      </w:divBdr>
    </w:div>
    <w:div w:id="212087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City of Springfield</a:t>
            </a:r>
          </a:p>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Revenue Budget by Group</a:t>
            </a:r>
          </a:p>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c:rich>
      </c:tx>
      <c:layout/>
      <c:overlay val="0"/>
    </c:title>
    <c:autoTitleDeleted val="0"/>
    <c:view3D>
      <c:rotX val="30"/>
      <c:rotY val="210"/>
      <c:rAngAx val="0"/>
      <c:perspective val="0"/>
    </c:view3D>
    <c:floor>
      <c:thickness val="0"/>
    </c:floor>
    <c:sideWall>
      <c:thickness val="0"/>
    </c:sideWall>
    <c:backWall>
      <c:thickness val="0"/>
    </c:backWall>
    <c:plotArea>
      <c:layout>
        <c:manualLayout>
          <c:layoutTarget val="inner"/>
          <c:xMode val="edge"/>
          <c:yMode val="edge"/>
          <c:x val="8.4896350442196969E-2"/>
          <c:y val="0.30622076300776124"/>
          <c:w val="0.91510364955780299"/>
          <c:h val="0.61599736737763211"/>
        </c:manualLayout>
      </c:layout>
      <c:pie3DChart>
        <c:varyColors val="1"/>
        <c:ser>
          <c:idx val="0"/>
          <c:order val="0"/>
          <c:explosion val="11"/>
          <c:dPt>
            <c:idx val="0"/>
            <c:bubble3D val="0"/>
            <c:extLst>
              <c:ext xmlns:c16="http://schemas.microsoft.com/office/drawing/2014/chart" uri="{C3380CC4-5D6E-409C-BE32-E72D297353CC}">
                <c16:uniqueId val="{00000000-66F6-4630-AB20-4C49C1E2EAE9}"/>
              </c:ext>
            </c:extLst>
          </c:dPt>
          <c:dPt>
            <c:idx val="1"/>
            <c:bubble3D val="0"/>
            <c:extLst>
              <c:ext xmlns:c16="http://schemas.microsoft.com/office/drawing/2014/chart" uri="{C3380CC4-5D6E-409C-BE32-E72D297353CC}">
                <c16:uniqueId val="{00000001-66F6-4630-AB20-4C49C1E2EAE9}"/>
              </c:ext>
            </c:extLst>
          </c:dPt>
          <c:dPt>
            <c:idx val="2"/>
            <c:bubble3D val="0"/>
            <c:extLst>
              <c:ext xmlns:c16="http://schemas.microsoft.com/office/drawing/2014/chart" uri="{C3380CC4-5D6E-409C-BE32-E72D297353CC}">
                <c16:uniqueId val="{00000002-66F6-4630-AB20-4C49C1E2EAE9}"/>
              </c:ext>
            </c:extLst>
          </c:dPt>
          <c:dPt>
            <c:idx val="3"/>
            <c:bubble3D val="0"/>
            <c:extLst>
              <c:ext xmlns:c16="http://schemas.microsoft.com/office/drawing/2014/chart" uri="{C3380CC4-5D6E-409C-BE32-E72D297353CC}">
                <c16:uniqueId val="{00000003-66F6-4630-AB20-4C49C1E2EAE9}"/>
              </c:ext>
            </c:extLst>
          </c:dPt>
          <c:dPt>
            <c:idx val="4"/>
            <c:bubble3D val="0"/>
            <c:extLst>
              <c:ext xmlns:c16="http://schemas.microsoft.com/office/drawing/2014/chart" uri="{C3380CC4-5D6E-409C-BE32-E72D297353CC}">
                <c16:uniqueId val="{00000004-66F6-4630-AB20-4C49C1E2EAE9}"/>
              </c:ext>
            </c:extLst>
          </c:dPt>
          <c:dLbls>
            <c:spPr>
              <a:noFill/>
              <a:ln w="25400">
                <a:noFill/>
              </a:ln>
            </c:spPr>
            <c:txPr>
              <a:bodyPr wrap="square" lIns="38100" tIns="19050" rIns="38100" bIns="19050" anchor="ctr">
                <a:spAutoFit/>
              </a:bodyPr>
              <a:lstStyle/>
              <a:p>
                <a:pPr>
                  <a:defRPr sz="1400" b="0" i="0" u="none" strike="noStrike" baseline="0">
                    <a:solidFill>
                      <a:srgbClr val="FFFFFF"/>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'Graph Rev Exp DATA'!$G$4:$G$8</c:f>
              <c:strCache>
                <c:ptCount val="5"/>
                <c:pt idx="0">
                  <c:v>Local Receipts</c:v>
                </c:pt>
                <c:pt idx="1">
                  <c:v>Real &amp; Personal Property Taxes</c:v>
                </c:pt>
                <c:pt idx="2">
                  <c:v>Motor Vehicle</c:v>
                </c:pt>
                <c:pt idx="3">
                  <c:v>State Aid</c:v>
                </c:pt>
                <c:pt idx="4">
                  <c:v>Other</c:v>
                </c:pt>
              </c:strCache>
            </c:strRef>
          </c:cat>
          <c:val>
            <c:numRef>
              <c:f>'Graph Rev Exp DATA'!$H$4:$H$8</c:f>
              <c:numCache>
                <c:formatCode>0%</c:formatCode>
                <c:ptCount val="5"/>
                <c:pt idx="0">
                  <c:v>4.7390050611139857E-2</c:v>
                </c:pt>
                <c:pt idx="1">
                  <c:v>0.30045103338349322</c:v>
                </c:pt>
                <c:pt idx="2">
                  <c:v>1.3534505009558525E-2</c:v>
                </c:pt>
                <c:pt idx="3">
                  <c:v>0.59578569785216096</c:v>
                </c:pt>
                <c:pt idx="4">
                  <c:v>4.2838713143647393E-2</c:v>
                </c:pt>
              </c:numCache>
            </c:numRef>
          </c:val>
          <c:extLst>
            <c:ext xmlns:c16="http://schemas.microsoft.com/office/drawing/2014/chart" uri="{C3380CC4-5D6E-409C-BE32-E72D297353CC}">
              <c16:uniqueId val="{00000005-66F6-4630-AB20-4C49C1E2EAE9}"/>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title>
      <c:tx>
        <c:rich>
          <a:bodyPr/>
          <a:lstStyle/>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City of Springfield</a:t>
            </a:r>
          </a:p>
          <a:p>
            <a:pPr>
              <a:defRPr sz="1000" b="0" i="0" u="none" strike="noStrike" baseline="0">
                <a:solidFill>
                  <a:srgbClr val="FFFFFF"/>
                </a:solidFill>
                <a:latin typeface="Calibri"/>
                <a:ea typeface="Calibri"/>
                <a:cs typeface="Calibri"/>
              </a:defRPr>
            </a:pPr>
            <a:r>
              <a:rPr lang="en-US" sz="1800" b="1" i="0" u="none" strike="noStrike" baseline="0">
                <a:solidFill>
                  <a:srgbClr val="FFFFFF"/>
                </a:solidFill>
                <a:latin typeface="Calibri"/>
                <a:cs typeface="Calibri"/>
              </a:rPr>
              <a:t>Expense Budget by Group</a:t>
            </a:r>
          </a:p>
          <a:p>
            <a:pPr>
              <a:defRPr sz="1000" b="0" i="0" u="none" strike="noStrike" baseline="0">
                <a:solidFill>
                  <a:srgbClr val="FFFFFF"/>
                </a:solidFill>
                <a:latin typeface="Calibri"/>
                <a:ea typeface="Calibri"/>
                <a:cs typeface="Calibri"/>
              </a:defRPr>
            </a:pPr>
            <a:endParaRPr lang="en-US" sz="1800" b="1" i="0" u="none" strike="noStrike" baseline="0">
              <a:solidFill>
                <a:srgbClr val="FFFFFF"/>
              </a:solidFill>
              <a:latin typeface="Calibri"/>
              <a:cs typeface="Calibri"/>
            </a:endParaRPr>
          </a:p>
        </c:rich>
      </c:tx>
      <c:layout/>
      <c:overlay val="0"/>
    </c:title>
    <c:autoTitleDeleted val="0"/>
    <c:view3D>
      <c:rotX val="30"/>
      <c:rotY val="182"/>
      <c:rAngAx val="0"/>
      <c:perspective val="0"/>
    </c:view3D>
    <c:floor>
      <c:thickness val="0"/>
    </c:floor>
    <c:sideWall>
      <c:thickness val="0"/>
    </c:sideWall>
    <c:backWall>
      <c:thickness val="0"/>
    </c:backWall>
    <c:plotArea>
      <c:layout>
        <c:manualLayout>
          <c:layoutTarget val="inner"/>
          <c:xMode val="edge"/>
          <c:yMode val="edge"/>
          <c:x val="7.6198540250961774E-2"/>
          <c:y val="0.14163088031373891"/>
          <c:w val="0.86439898683993177"/>
          <c:h val="0.75447707128152808"/>
        </c:manualLayout>
      </c:layout>
      <c:pie3DChart>
        <c:varyColors val="1"/>
        <c:ser>
          <c:idx val="0"/>
          <c:order val="0"/>
          <c:explosion val="30"/>
          <c:dPt>
            <c:idx val="0"/>
            <c:bubble3D val="0"/>
            <c:extLst>
              <c:ext xmlns:c16="http://schemas.microsoft.com/office/drawing/2014/chart" uri="{C3380CC4-5D6E-409C-BE32-E72D297353CC}">
                <c16:uniqueId val="{00000000-E30E-40C4-BBC4-5A007C5850D8}"/>
              </c:ext>
            </c:extLst>
          </c:dPt>
          <c:dPt>
            <c:idx val="1"/>
            <c:bubble3D val="0"/>
            <c:extLst>
              <c:ext xmlns:c16="http://schemas.microsoft.com/office/drawing/2014/chart" uri="{C3380CC4-5D6E-409C-BE32-E72D297353CC}">
                <c16:uniqueId val="{00000001-E30E-40C4-BBC4-5A007C5850D8}"/>
              </c:ext>
            </c:extLst>
          </c:dPt>
          <c:dPt>
            <c:idx val="2"/>
            <c:bubble3D val="0"/>
            <c:extLst>
              <c:ext xmlns:c16="http://schemas.microsoft.com/office/drawing/2014/chart" uri="{C3380CC4-5D6E-409C-BE32-E72D297353CC}">
                <c16:uniqueId val="{00000002-E30E-40C4-BBC4-5A007C5850D8}"/>
              </c:ext>
            </c:extLst>
          </c:dPt>
          <c:dPt>
            <c:idx val="3"/>
            <c:bubble3D val="0"/>
            <c:extLst>
              <c:ext xmlns:c16="http://schemas.microsoft.com/office/drawing/2014/chart" uri="{C3380CC4-5D6E-409C-BE32-E72D297353CC}">
                <c16:uniqueId val="{00000003-E30E-40C4-BBC4-5A007C5850D8}"/>
              </c:ext>
            </c:extLst>
          </c:dPt>
          <c:dPt>
            <c:idx val="4"/>
            <c:bubble3D val="0"/>
            <c:extLst>
              <c:ext xmlns:c16="http://schemas.microsoft.com/office/drawing/2014/chart" uri="{C3380CC4-5D6E-409C-BE32-E72D297353CC}">
                <c16:uniqueId val="{00000004-E30E-40C4-BBC4-5A007C5850D8}"/>
              </c:ext>
            </c:extLst>
          </c:dPt>
          <c:dPt>
            <c:idx val="5"/>
            <c:bubble3D val="0"/>
            <c:extLst>
              <c:ext xmlns:c16="http://schemas.microsoft.com/office/drawing/2014/chart" uri="{C3380CC4-5D6E-409C-BE32-E72D297353CC}">
                <c16:uniqueId val="{00000005-E30E-40C4-BBC4-5A007C5850D8}"/>
              </c:ext>
            </c:extLst>
          </c:dPt>
          <c:dPt>
            <c:idx val="6"/>
            <c:bubble3D val="0"/>
            <c:extLst>
              <c:ext xmlns:c16="http://schemas.microsoft.com/office/drawing/2014/chart" uri="{C3380CC4-5D6E-409C-BE32-E72D297353CC}">
                <c16:uniqueId val="{00000006-E30E-40C4-BBC4-5A007C5850D8}"/>
              </c:ext>
            </c:extLst>
          </c:dPt>
          <c:dPt>
            <c:idx val="7"/>
            <c:bubble3D val="0"/>
            <c:extLst>
              <c:ext xmlns:c16="http://schemas.microsoft.com/office/drawing/2014/chart" uri="{C3380CC4-5D6E-409C-BE32-E72D297353CC}">
                <c16:uniqueId val="{00000007-E30E-40C4-BBC4-5A007C5850D8}"/>
              </c:ext>
            </c:extLst>
          </c:dPt>
          <c:dPt>
            <c:idx val="8"/>
            <c:bubble3D val="0"/>
            <c:extLst>
              <c:ext xmlns:c16="http://schemas.microsoft.com/office/drawing/2014/chart" uri="{C3380CC4-5D6E-409C-BE32-E72D297353CC}">
                <c16:uniqueId val="{00000008-E30E-40C4-BBC4-5A007C5850D8}"/>
              </c:ext>
            </c:extLst>
          </c:dPt>
          <c:dLbls>
            <c:spPr>
              <a:noFill/>
              <a:ln w="25400">
                <a:noFill/>
              </a:ln>
            </c:spPr>
            <c:txPr>
              <a:bodyPr wrap="square" lIns="38100" tIns="19050" rIns="38100" bIns="19050" anchor="ctr">
                <a:spAutoFit/>
              </a:bodyPr>
              <a:lstStyle/>
              <a:p>
                <a:pPr>
                  <a:defRPr sz="1200" b="1" i="0" u="none" strike="noStrike" baseline="0">
                    <a:solidFill>
                      <a:srgbClr val="FFFFFF"/>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'Graph Rev Exp DATA'!$G$38:$G$46</c:f>
              <c:strCache>
                <c:ptCount val="9"/>
                <c:pt idx="0">
                  <c:v>General government</c:v>
                </c:pt>
                <c:pt idx="1">
                  <c:v>Public Safety</c:v>
                </c:pt>
                <c:pt idx="2">
                  <c:v>Health and Welfare</c:v>
                </c:pt>
                <c:pt idx="3">
                  <c:v>Public Works</c:v>
                </c:pt>
                <c:pt idx="4">
                  <c:v>Education</c:v>
                </c:pt>
                <c:pt idx="5">
                  <c:v>Culture &amp; Recreation</c:v>
                </c:pt>
                <c:pt idx="6">
                  <c:v>Pension and Fringe</c:v>
                </c:pt>
                <c:pt idx="7">
                  <c:v>Debt Service</c:v>
                </c:pt>
                <c:pt idx="8">
                  <c:v>Other</c:v>
                </c:pt>
              </c:strCache>
            </c:strRef>
          </c:cat>
          <c:val>
            <c:numRef>
              <c:f>'Graph Rev Exp DATA'!$H$38:$H$46</c:f>
              <c:numCache>
                <c:formatCode>0%</c:formatCode>
                <c:ptCount val="9"/>
                <c:pt idx="0">
                  <c:v>3.5603357199433604E-2</c:v>
                </c:pt>
                <c:pt idx="1">
                  <c:v>0.10799732968176498</c:v>
                </c:pt>
                <c:pt idx="2">
                  <c:v>5.7373851425253954E-3</c:v>
                </c:pt>
                <c:pt idx="3">
                  <c:v>1.4469501881924104E-2</c:v>
                </c:pt>
                <c:pt idx="4">
                  <c:v>0.65771389689657878</c:v>
                </c:pt>
                <c:pt idx="5">
                  <c:v>1.8904747894061377E-2</c:v>
                </c:pt>
                <c:pt idx="6">
                  <c:v>0.10719631214051147</c:v>
                </c:pt>
                <c:pt idx="7">
                  <c:v>3.3825465659426485E-2</c:v>
                </c:pt>
                <c:pt idx="8">
                  <c:v>1.8552003503773826E-2</c:v>
                </c:pt>
              </c:numCache>
            </c:numRef>
          </c:val>
          <c:extLst>
            <c:ext xmlns:c16="http://schemas.microsoft.com/office/drawing/2014/chart" uri="{C3380CC4-5D6E-409C-BE32-E72D297353CC}">
              <c16:uniqueId val="{00000009-E30E-40C4-BBC4-5A007C5850D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txPr>
    <a:bodyPr/>
    <a:lstStyle/>
    <a:p>
      <a:pPr>
        <a:defRPr sz="1000" b="0" i="0" u="none" strike="noStrike" baseline="0">
          <a:solidFill>
            <a:srgbClr val="FFFFFF"/>
          </a:solidFill>
          <a:latin typeface="Calibri"/>
          <a:ea typeface="Calibri"/>
          <a:cs typeface="Calibri"/>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33A83A0268451A912DFD482A65A440"/>
        <w:category>
          <w:name w:val="General"/>
          <w:gallery w:val="placeholder"/>
        </w:category>
        <w:types>
          <w:type w:val="bbPlcHdr"/>
        </w:types>
        <w:behaviors>
          <w:behavior w:val="content"/>
        </w:behaviors>
        <w:guid w:val="{AFE3D09D-DC7E-4970-8DF1-2B82E3F75F04}"/>
      </w:docPartPr>
      <w:docPartBody>
        <w:p w:rsidR="001B10C1" w:rsidRDefault="00961B45" w:rsidP="00961B45">
          <w:pPr>
            <w:pStyle w:val="7733A83A0268451A912DFD482A65A440"/>
          </w:pPr>
          <w:r>
            <w:rPr>
              <w:color w:val="5B9BD5" w:themeColor="accent1"/>
            </w:rPr>
            <w:t>[Type the document subtitle]</w:t>
          </w:r>
        </w:p>
      </w:docPartBody>
    </w:docPart>
    <w:docPart>
      <w:docPartPr>
        <w:name w:val="AAD1FA01D59D4EB094503C3DE823E78E"/>
        <w:category>
          <w:name w:val="General"/>
          <w:gallery w:val="placeholder"/>
        </w:category>
        <w:types>
          <w:type w:val="bbPlcHdr"/>
        </w:types>
        <w:behaviors>
          <w:behavior w:val="content"/>
        </w:behaviors>
        <w:guid w:val="{26255183-FA90-4AFC-B71A-81E062E800CC}"/>
      </w:docPartPr>
      <w:docPartBody>
        <w:p w:rsidR="001B10C1" w:rsidRDefault="00961B45" w:rsidP="00961B45">
          <w:pPr>
            <w:pStyle w:val="AAD1FA01D59D4EB094503C3DE823E78E"/>
          </w:pPr>
          <w:r>
            <w:rPr>
              <w:color w:val="808080" w:themeColor="text1" w:themeTint="7F"/>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Condensed">
    <w:panose1 w:val="020B0502040204020203"/>
    <w:charset w:val="00"/>
    <w:family w:val="swiss"/>
    <w:pitch w:val="variable"/>
    <w:sig w:usb0="A00002C7" w:usb1="00000002" w:usb2="00000000"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B45"/>
    <w:rsid w:val="001644CF"/>
    <w:rsid w:val="001B10C1"/>
    <w:rsid w:val="001C5A54"/>
    <w:rsid w:val="0025287A"/>
    <w:rsid w:val="00284C39"/>
    <w:rsid w:val="00410508"/>
    <w:rsid w:val="00665B82"/>
    <w:rsid w:val="00836347"/>
    <w:rsid w:val="008B398C"/>
    <w:rsid w:val="00961B45"/>
    <w:rsid w:val="00DE1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3EDA6367DE46619E7BCD79CC9478C8">
    <w:name w:val="2B3EDA6367DE46619E7BCD79CC9478C8"/>
    <w:rsid w:val="00961B45"/>
  </w:style>
  <w:style w:type="paragraph" w:customStyle="1" w:styleId="7733A83A0268451A912DFD482A65A440">
    <w:name w:val="7733A83A0268451A912DFD482A65A440"/>
    <w:rsid w:val="00961B45"/>
  </w:style>
  <w:style w:type="paragraph" w:customStyle="1" w:styleId="AAD1FA01D59D4EB094503C3DE823E78E">
    <w:name w:val="AAD1FA01D59D4EB094503C3DE823E78E"/>
    <w:rsid w:val="00961B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AF5C6-6118-4B9B-9C90-6A05D174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2025</Words>
  <Characters>11544</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City of Springfield, Massachusetts</vt:lpstr>
    </vt:vector>
  </TitlesOfParts>
  <Company>City of Springfield</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Springfield, Massachusetts</dc:title>
  <dc:subject>Quarterly Financial Report</dc:subject>
  <dc:creator>As of 09/30/2021</dc:creator>
  <cp:keywords/>
  <dc:description/>
  <cp:lastModifiedBy>Lopez-Santiago, Maria</cp:lastModifiedBy>
  <cp:revision>2</cp:revision>
  <cp:lastPrinted>2021-11-19T18:25:00Z</cp:lastPrinted>
  <dcterms:created xsi:type="dcterms:W3CDTF">2021-11-19T21:17:00Z</dcterms:created>
  <dcterms:modified xsi:type="dcterms:W3CDTF">2021-11-19T21:17:00Z</dcterms:modified>
</cp:coreProperties>
</file>